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14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bookmarkEnd w:id="14"/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中国出入境检验检疫协会团体标准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8"/>
          <w:szCs w:val="48"/>
        </w:rPr>
        <w:t>《数字产品数据安全和隐私保护要求》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（征求意见稿）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52"/>
          <w:szCs w:val="52"/>
        </w:rPr>
      </w:pPr>
      <w:r>
        <w:rPr>
          <w:rFonts w:hint="eastAsia" w:ascii="宋体" w:hAnsi="宋体" w:eastAsia="宋体"/>
          <w:b/>
          <w:bCs/>
          <w:sz w:val="52"/>
          <w:szCs w:val="52"/>
        </w:rPr>
        <w:t>编制说明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t>标准起草小组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  <w:r>
        <w:rPr>
          <w:rFonts w:ascii="Times New Roman" w:hAnsi="Times New Roman" w:eastAsia="宋体" w:cs="Times New Roman"/>
          <w:sz w:val="36"/>
          <w:szCs w:val="36"/>
        </w:rPr>
        <w:t>2024年8月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6"/>
            <w:jc w:val="center"/>
            <w:rPr>
              <w:rFonts w:ascii="黑体" w:hAnsi="黑体" w:eastAsia="黑体"/>
              <w:color w:val="auto"/>
              <w:sz w:val="28"/>
              <w:szCs w:val="28"/>
            </w:rPr>
          </w:pPr>
          <w:r>
            <w:rPr>
              <w:rFonts w:ascii="黑体" w:hAnsi="黑体" w:eastAsia="黑体"/>
              <w:color w:val="auto"/>
              <w:sz w:val="28"/>
              <w:szCs w:val="28"/>
            </w:rPr>
            <w:t>目录</w:t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"_Toc174636789"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工作简况</w:t>
          </w:r>
          <w:r>
            <w:tab/>
          </w:r>
          <w:r>
            <w:fldChar w:fldCharType="begin"/>
          </w:r>
          <w:r>
            <w:instrText xml:space="preserve"> PAGEREF _Toc174636789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"_Toc174636790"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1.1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立项目的和意义</w:t>
          </w:r>
          <w:r>
            <w:tab/>
          </w:r>
          <w:r>
            <w:fldChar w:fldCharType="begin"/>
          </w:r>
          <w:r>
            <w:instrText xml:space="preserve"> PAGEREF _Toc174636790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"_Toc174636791"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1.2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任务来源</w:t>
          </w:r>
          <w:r>
            <w:tab/>
          </w:r>
          <w:r>
            <w:fldChar w:fldCharType="begin"/>
          </w:r>
          <w:r>
            <w:instrText xml:space="preserve"> PAGEREF _Toc174636791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"_Toc174636794"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标准编制原则</w:t>
          </w:r>
          <w:r>
            <w:tab/>
          </w:r>
          <w:r>
            <w:fldChar w:fldCharType="begin"/>
          </w:r>
          <w:r>
            <w:instrText xml:space="preserve"> PAGEREF _Toc174636794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"_Toc174636795"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标准核心技术内容及应用情况</w:t>
          </w:r>
          <w:r>
            <w:tab/>
          </w:r>
          <w:r>
            <w:fldChar w:fldCharType="begin"/>
          </w:r>
          <w:r>
            <w:instrText xml:space="preserve"> PAGEREF _Toc174636795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"_Toc174636796"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3.1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标准制定的适用范围</w:t>
          </w:r>
          <w:r>
            <w:tab/>
          </w:r>
          <w:r>
            <w:fldChar w:fldCharType="begin"/>
          </w:r>
          <w:r>
            <w:instrText xml:space="preserve"> PAGEREF _Toc174636796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"_Toc174636797"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3.2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主要内容及其确定依据</w:t>
          </w:r>
          <w:r>
            <w:tab/>
          </w:r>
          <w:r>
            <w:fldChar w:fldCharType="begin"/>
          </w:r>
          <w:r>
            <w:instrText xml:space="preserve"> PAGEREF _Toc174636797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"_Toc174636798"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4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标准中涉及专利的情况</w:t>
          </w:r>
          <w:r>
            <w:tab/>
          </w:r>
          <w:r>
            <w:fldChar w:fldCharType="begin"/>
          </w:r>
          <w:r>
            <w:instrText xml:space="preserve"> PAGEREF _Toc174636798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"_Toc174636799"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5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采用国际标准和国外先进标准的情况</w:t>
          </w:r>
          <w:r>
            <w:tab/>
          </w:r>
          <w:r>
            <w:fldChar w:fldCharType="begin"/>
          </w:r>
          <w:r>
            <w:instrText xml:space="preserve"> PAGEREF _Toc174636799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"_Toc174636800"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6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与现行法律、法规、强制性国家标准及相关标准的关系</w:t>
          </w:r>
          <w:r>
            <w:tab/>
          </w:r>
          <w:r>
            <w:fldChar w:fldCharType="begin"/>
          </w:r>
          <w:r>
            <w:instrText xml:space="preserve"> PAGEREF _Toc174636800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"_Toc174636801"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7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重大分歧意见的处理和依据</w:t>
          </w:r>
          <w:r>
            <w:tab/>
          </w:r>
          <w:r>
            <w:fldChar w:fldCharType="begin"/>
          </w:r>
          <w:r>
            <w:instrText xml:space="preserve"> PAGEREF _Toc174636801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"_Toc174636802"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8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贯彻标准的要求和措施建议</w:t>
          </w:r>
          <w:r>
            <w:tab/>
          </w:r>
          <w:r>
            <w:fldChar w:fldCharType="begin"/>
          </w:r>
          <w:r>
            <w:instrText xml:space="preserve"> PAGEREF _Toc174636802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"_Toc174636803"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9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其他应予说明的事项</w:t>
          </w:r>
          <w:r>
            <w:tab/>
          </w:r>
          <w:r>
            <w:fldChar w:fldCharType="begin"/>
          </w:r>
          <w:r>
            <w:instrText xml:space="preserve"> PAGEREF _Toc174636803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"_Toc174636804"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10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预期效果</w:t>
          </w:r>
          <w:r>
            <w:tab/>
          </w:r>
          <w:r>
            <w:fldChar w:fldCharType="begin"/>
          </w:r>
          <w:r>
            <w:instrText xml:space="preserve"> PAGEREF _Toc174636804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spacing w:line="360" w:lineRule="auto"/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  <w:p>
          <w:pPr>
            <w:spacing w:line="360" w:lineRule="auto"/>
          </w:pPr>
        </w:p>
      </w:sdtContent>
    </w:sdt>
    <w:p>
      <w:pPr>
        <w:widowControl/>
        <w:jc w:val="left"/>
      </w:pPr>
      <w:r>
        <w:rPr>
          <w:b/>
          <w:bCs/>
        </w:rPr>
        <w:br w:type="page"/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0" w:name="_Toc174636789"/>
      <w:r>
        <w:rPr>
          <w:rFonts w:hint="eastAsia" w:ascii="黑体" w:hAnsi="黑体" w:eastAsia="黑体"/>
          <w:b w:val="0"/>
          <w:bCs w:val="0"/>
          <w:sz w:val="32"/>
          <w:szCs w:val="32"/>
        </w:rPr>
        <w:t>工作简况</w:t>
      </w:r>
      <w:bookmarkEnd w:id="0"/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1" w:name="_Toc174636790"/>
      <w:r>
        <w:rPr>
          <w:rFonts w:hint="eastAsia" w:ascii="黑体" w:hAnsi="黑体" w:eastAsia="黑体"/>
          <w:b w:val="0"/>
          <w:bCs w:val="0"/>
          <w:sz w:val="28"/>
          <w:szCs w:val="28"/>
        </w:rPr>
        <w:t>立项目的和意义</w:t>
      </w:r>
      <w:bookmarkEnd w:id="1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着近年来数字化、网络化、智能化的迅猛发展，数字产品已经深入到我们生活的方方面面，从智能手机、平板电脑到智能家居，再到各种线上服务和应用，数字产品正以前所未有的速度改变着我们的生活方式。据《数字中国发展报告（</w:t>
      </w:r>
      <w:r>
        <w:rPr>
          <w:rFonts w:ascii="宋体" w:hAnsi="宋体" w:eastAsia="宋体"/>
          <w:sz w:val="28"/>
          <w:szCs w:val="28"/>
        </w:rPr>
        <w:t>2022年）》数据，2022年数字经济规模达到50.2万亿元，同比名义增长10.3%，占GDP比重达到41.5%。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数字技术的发展和数字产品的应用，使信息获取更加便捷，数据处理更加高效，创新变得更容易，生活变得更智能化，并推动了社会的数字化转型。然而，我们也要认识到数字技术所带来的挑战和风险，个人信息和数据泄露带来个人隐私保护风险、算法推荐加剧“信息茧房”、人工智能技术带来伦理安全风险等等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推进数字中国建设，必须切实维护网络和数据安全。《中华人民共和国网络安全法》、《中华人民共和国数据安全法》、《中华人民共和国个人信息保护法》等法律法规的出台，为数据安全提供了法律框架和明确要求，强化了数据分类分级保护、风险评估、应急处置、安全审查等制度措施，确保数据的合法收集、存储、使用和传输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前，数字产品的种类越来越多样化，涵盖了智能手机、平板电脑、智能手表、智能家居设备等多个领域。这些产品不仅满足了人们的基本通信和娱乐需求，还在健康监测、教育、生活便捷化等方面提供了更多可能性。与此同时，数字产品存在诸多网络安全和数据安全风险。主要表现在，一是数字产品提供者为了提高市场份额，较为注重产品的功能和性能，对网络安全和数据安全的重要性认识不足，安全功能不能完全满足合规要求；二是数字产品提供者在收集用户数据时往往缺乏充分的透明度，用户对于自己的数据如何被收集、使用和共享通常了解不足。这种不透明性导致用户难以做出知情同意，也难以有效控制自己的个人信息；三是数字产品提供者存在滥采滥用用户个人信息的问题，例如，过度索取用户权限、收集非必要个人信息等，这些问题不仅侵犯了用户的隐私权，还可能导致个人信息的泄露和滥用；四是网络安全保护、数据保护措施不足，随着数字技术的快速发展，新的安全威胁不断出现，而数字产品提供者在应对新威胁投入不足，用户数据存在安全风险；五是用户隐私权益在数字产品使用过程中容易受到侵犯，尤其是在大数据杀熟、个性化推荐等方面，用户的隐私权益保护措施往往不够充分；六是目前国内数字产品安全标准相对缺乏，不能满足企业和用户的安全需求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为落实国家法律法规要求，满足企业、用户的网络安全、数据安全需求，提高数字产品的网络安全保护能力，维护企业、用户的合法权益，有必要制订数字产品数据安全与隐私保护要求相关的标准。</w:t>
      </w:r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2" w:name="_Toc174636791"/>
      <w:r>
        <w:rPr>
          <w:rFonts w:hint="eastAsia" w:ascii="黑体" w:hAnsi="黑体" w:eastAsia="黑体"/>
          <w:b w:val="0"/>
          <w:bCs w:val="0"/>
          <w:sz w:val="28"/>
          <w:szCs w:val="28"/>
        </w:rPr>
        <w:t>任务来源</w:t>
      </w:r>
      <w:bookmarkEnd w:id="2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根据《中国出入境检验检疫协会关于批准</w:t>
      </w:r>
      <w:r>
        <w:rPr>
          <w:rFonts w:ascii="宋体" w:hAnsi="宋体" w:eastAsia="宋体"/>
          <w:sz w:val="28"/>
          <w:szCs w:val="28"/>
        </w:rPr>
        <w:t>&lt;</w:t>
      </w:r>
      <w:r>
        <w:rPr>
          <w:rFonts w:hint="eastAsia" w:ascii="宋体" w:hAnsi="宋体" w:eastAsia="宋体"/>
          <w:sz w:val="28"/>
          <w:szCs w:val="28"/>
        </w:rPr>
        <w:t>数字产品网络安全</w:t>
      </w:r>
      <w:r>
        <w:rPr>
          <w:rFonts w:ascii="宋体" w:hAnsi="宋体" w:eastAsia="宋体"/>
          <w:sz w:val="28"/>
          <w:szCs w:val="28"/>
        </w:rPr>
        <w:t>要求&gt;等3 项团体标准立项的通知》（中检协标（2024）15 号），《</w:t>
      </w:r>
      <w:r>
        <w:rPr>
          <w:rFonts w:hint="eastAsia" w:ascii="宋体" w:hAnsi="宋体" w:eastAsia="宋体"/>
          <w:sz w:val="28"/>
          <w:szCs w:val="28"/>
        </w:rPr>
        <w:t>数字产品数据安全和隐私保护要求》（立项编号：</w:t>
      </w:r>
      <w:r>
        <w:rPr>
          <w:rFonts w:ascii="宋体" w:hAnsi="宋体" w:eastAsia="宋体"/>
          <w:sz w:val="28"/>
          <w:szCs w:val="28"/>
        </w:rPr>
        <w:t>P/CIQA-200-2024）团体标准于 2024年6月28日由中国</w:t>
      </w:r>
      <w:r>
        <w:rPr>
          <w:rFonts w:hint="eastAsia" w:ascii="宋体" w:hAnsi="宋体" w:eastAsia="宋体"/>
          <w:sz w:val="28"/>
          <w:szCs w:val="28"/>
        </w:rPr>
        <w:t>出入境检验检疫协会标准化委员会批准立项，该标准牵头单位是北京时代新威信息技术有限公司，归口单位是中国出入境检验检疫协会。</w:t>
      </w:r>
    </w:p>
    <w:p>
      <w:pPr>
        <w:widowControl/>
        <w:rPr>
          <w:rFonts w:ascii="宋体" w:hAnsi="宋体" w:eastAsia="宋体"/>
          <w:sz w:val="28"/>
          <w:szCs w:val="28"/>
        </w:rPr>
      </w:pP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3" w:name="_Toc174636794"/>
      <w:r>
        <w:rPr>
          <w:rFonts w:hint="eastAsia" w:ascii="黑体" w:hAnsi="黑体" w:eastAsia="黑体"/>
          <w:b w:val="0"/>
          <w:bCs w:val="0"/>
          <w:sz w:val="32"/>
          <w:szCs w:val="32"/>
        </w:rPr>
        <w:t>标准编制原则</w:t>
      </w:r>
      <w:bookmarkEnd w:id="3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本标准起草过程遵循以下原则。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规范性。本标准是根据 GB/T 1.1-2020《标准化工作导则 第 1部分:标准化文件的结构和起草规则》、《中国出入境检验检疫协会团体标准管理办法》及其实施细则的要求进行格式和结构编写，以确保制定的团体标准的规范性。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合规性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  <w:r>
        <w:rPr>
          <w:rFonts w:hint="eastAsia" w:ascii="Times New Roman" w:hAnsi="Times New Roman" w:eastAsia="宋体" w:cs="Times New Roman"/>
          <w:sz w:val="28"/>
          <w:szCs w:val="28"/>
        </w:rPr>
        <w:t>严格遵循国家相关的法律法规，如《中华人民共和国民法典》、《中华人民共和国网络安全法》等，提出数字产品数据安全和隐私保护的范围、技术要求等内容。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协调</w:t>
      </w:r>
      <w:r>
        <w:rPr>
          <w:rFonts w:ascii="Times New Roman" w:hAnsi="Times New Roman" w:eastAsia="宋体" w:cs="Times New Roman"/>
          <w:sz w:val="28"/>
          <w:szCs w:val="28"/>
        </w:rPr>
        <w:t>性。</w:t>
      </w:r>
      <w:r>
        <w:rPr>
          <w:rFonts w:hint="eastAsia" w:ascii="Times New Roman" w:hAnsi="Times New Roman" w:eastAsia="宋体" w:cs="Times New Roman"/>
          <w:sz w:val="28"/>
          <w:szCs w:val="28"/>
        </w:rPr>
        <w:t>本标准规范性引用了</w:t>
      </w:r>
      <w:r>
        <w:rPr>
          <w:rFonts w:ascii="Times New Roman" w:hAnsi="Times New Roman" w:eastAsia="宋体" w:cs="Times New Roman"/>
          <w:sz w:val="28"/>
          <w:szCs w:val="28"/>
        </w:rPr>
        <w:t>GB/T 35273—2020等标准，确保标准间相互协调，避免重复和不必要的差异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4" w:name="_Toc174636795"/>
      <w:r>
        <w:rPr>
          <w:rFonts w:hint="eastAsia" w:ascii="黑体" w:hAnsi="黑体" w:eastAsia="黑体"/>
          <w:b w:val="0"/>
          <w:bCs w:val="0"/>
          <w:sz w:val="32"/>
          <w:szCs w:val="32"/>
        </w:rPr>
        <w:t>标准核心技术内容及应用情况</w:t>
      </w:r>
      <w:bookmarkEnd w:id="4"/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5" w:name="_Toc174636796"/>
      <w:r>
        <w:rPr>
          <w:rFonts w:ascii="黑体" w:hAnsi="黑体" w:eastAsia="黑体"/>
          <w:b w:val="0"/>
          <w:bCs w:val="0"/>
          <w:sz w:val="28"/>
          <w:szCs w:val="28"/>
        </w:rPr>
        <w:t>标准制定的适用范围</w:t>
      </w:r>
      <w:bookmarkEnd w:id="5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本标准规定了数据产品针对用户信息、隐私的收集、存储、使用、加工、是供、公开、出境等数据处理活动的安全要求。</w:t>
      </w:r>
    </w:p>
    <w:p>
      <w:pPr>
        <w:pStyle w:val="17"/>
        <w:widowControl/>
        <w:ind w:left="36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本文件适用于数字产品提供者规范个人信息、隐私信息处理活动，也可为监管部门、第三方评估机构对数字产品中个人信息与隐私保护能力进行监督、评估提供参考。</w:t>
      </w:r>
    </w:p>
    <w:p>
      <w:pPr>
        <w:pStyle w:val="17"/>
        <w:widowControl/>
        <w:ind w:left="36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本标准是数字产品和数字产品提供者均需满足的基线要求。</w:t>
      </w:r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6" w:name="_Toc174636797"/>
      <w:r>
        <w:rPr>
          <w:rFonts w:ascii="黑体" w:hAnsi="黑体" w:eastAsia="黑体"/>
          <w:b w:val="0"/>
          <w:bCs w:val="0"/>
          <w:sz w:val="28"/>
          <w:szCs w:val="28"/>
        </w:rPr>
        <w:t>主要内容及其确定依据</w:t>
      </w:r>
      <w:bookmarkEnd w:id="6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依据《中华人民共和国产品个人信息保护法》、《中华人民共和国产品数据安全法》等法律法规，规定了数字产品数据安全和隐私保护原则，数字产品生命周期内的个人信息、隐私信息安全保护要求。适用于数据产品开发者规范数字产品的设计、开发、应用以及维护等活动。主要内容包括：</w:t>
      </w:r>
    </w:p>
    <w:p>
      <w:pPr>
        <w:pStyle w:val="17"/>
        <w:widowControl/>
        <w:numPr>
          <w:ilvl w:val="0"/>
          <w:numId w:val="3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本标准给出了</w:t>
      </w:r>
      <w:r>
        <w:rPr>
          <w:rFonts w:hint="eastAsia" w:ascii="宋体" w:hAnsi="宋体" w:eastAsia="宋体"/>
          <w:sz w:val="28"/>
          <w:szCs w:val="28"/>
        </w:rPr>
        <w:t>数字产品数据安全和隐私保护原则，包括“同步原则”、“</w:t>
      </w:r>
      <w:r>
        <w:rPr>
          <w:rFonts w:ascii="宋体" w:hAnsi="宋体" w:eastAsia="宋体"/>
          <w:sz w:val="28"/>
          <w:szCs w:val="28"/>
        </w:rPr>
        <w:t>公开原则</w:t>
      </w:r>
      <w:r>
        <w:rPr>
          <w:rFonts w:hint="eastAsia" w:ascii="宋体" w:hAnsi="宋体" w:eastAsia="宋体"/>
          <w:sz w:val="28"/>
          <w:szCs w:val="28"/>
        </w:rPr>
        <w:t>”、“最少必需原则”、“分类分级原则”、“</w:t>
      </w:r>
      <w:r>
        <w:rPr>
          <w:rFonts w:ascii="宋体" w:hAnsi="宋体" w:eastAsia="宋体"/>
          <w:sz w:val="28"/>
          <w:szCs w:val="28"/>
        </w:rPr>
        <w:t>覆盖产品生命周期原则</w:t>
      </w:r>
      <w:r>
        <w:rPr>
          <w:rFonts w:hint="eastAsia" w:ascii="宋体" w:hAnsi="宋体" w:eastAsia="宋体"/>
          <w:sz w:val="28"/>
          <w:szCs w:val="28"/>
        </w:rPr>
        <w:t>”和“</w:t>
      </w:r>
      <w:r>
        <w:rPr>
          <w:rFonts w:ascii="宋体" w:hAnsi="宋体" w:eastAsia="宋体"/>
          <w:sz w:val="28"/>
          <w:szCs w:val="28"/>
        </w:rPr>
        <w:t>持续监测审计原则</w:t>
      </w:r>
      <w:r>
        <w:rPr>
          <w:rFonts w:hint="eastAsia" w:ascii="宋体" w:hAnsi="宋体" w:eastAsia="宋体"/>
          <w:sz w:val="28"/>
          <w:szCs w:val="28"/>
        </w:rPr>
        <w:t>”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pStyle w:val="17"/>
        <w:widowControl/>
        <w:numPr>
          <w:ilvl w:val="0"/>
          <w:numId w:val="3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依据《中华人民共和国产品个人信息保护法》第四条、《中华人民共和国产品民法典》第一千零三十二条、第一千零三十四条以及《未成年人网络保护条例》相关规定，针对个人信息、隐私信息的收集、存储、使用、加工、传输、提供、公开、删除等活动给出了具体的安全保护要求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7" w:name="_Toc174636798"/>
      <w:r>
        <w:rPr>
          <w:rFonts w:hint="eastAsia" w:ascii="黑体" w:hAnsi="黑体" w:eastAsia="黑体"/>
          <w:b w:val="0"/>
          <w:bCs w:val="0"/>
          <w:sz w:val="32"/>
          <w:szCs w:val="32"/>
        </w:rPr>
        <w:t>标准中涉及专利的情况</w:t>
      </w:r>
      <w:bookmarkEnd w:id="7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本标准不涉及专利和知识产权问题。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8" w:name="_Toc174636799"/>
      <w:r>
        <w:rPr>
          <w:rFonts w:hint="eastAsia" w:ascii="黑体" w:hAnsi="黑体" w:eastAsia="黑体"/>
          <w:b w:val="0"/>
          <w:bCs w:val="0"/>
          <w:sz w:val="32"/>
          <w:szCs w:val="32"/>
        </w:rPr>
        <w:t>采用国际标准和国外先进标准的情况</w:t>
      </w:r>
      <w:bookmarkEnd w:id="8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通过查找全国标准信息公共服务平台、全国信安标委信息安全标准项目管理与服务平台、全国团体标准信息平台等相关标准平台，均未找到数字产品数据安全和隐私保护要求类似标准。本标准未采用（包括等同采用、修改采用及非等效采用）国际标准或国外先进标准。可以提供参考和借鉴的标准包括：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GB/T 39276-2020《信息安全技术 网络产品和服务安全通用要求》；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GB/T 41479-2022《信息安全技术 网络数据处理安全要求》；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GB/T 40979-2021《智能家用电器个人信息保护要求和测评方法》；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GB</w:t>
      </w:r>
      <w:r>
        <w:rPr>
          <w:rFonts w:hint="eastAsia" w:ascii="Times New Roman" w:hAnsi="Times New Roman" w:eastAsia="宋体" w:cs="Times New Roman"/>
          <w:sz w:val="28"/>
          <w:szCs w:val="28"/>
        </w:rPr>
        <w:t>/</w:t>
      </w:r>
      <w:r>
        <w:rPr>
          <w:rFonts w:ascii="Times New Roman" w:hAnsi="Times New Roman" w:eastAsia="宋体" w:cs="Times New Roman"/>
          <w:sz w:val="28"/>
          <w:szCs w:val="28"/>
        </w:rPr>
        <w:t>T 34978-2017《信息安全技术 移动智能终端个人信息保护技术要求》；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GB</w:t>
      </w:r>
      <w:r>
        <w:rPr>
          <w:rFonts w:ascii="宋体" w:hAnsi="宋体" w:eastAsia="宋体" w:cs="宋体"/>
          <w:sz w:val="28"/>
          <w:szCs w:val="28"/>
        </w:rPr>
        <w:t>/</w:t>
      </w:r>
      <w:r>
        <w:rPr>
          <w:rFonts w:ascii="Times New Roman" w:hAnsi="Times New Roman" w:eastAsia="宋体" w:cs="Times New Roman"/>
          <w:sz w:val="28"/>
          <w:szCs w:val="28"/>
        </w:rPr>
        <w:t>T 22239-2019《信息安全技术 网络安全等级保护基本要求》。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9" w:name="_Toc174636800"/>
      <w:r>
        <w:rPr>
          <w:rFonts w:hint="eastAsia" w:ascii="黑体" w:hAnsi="黑体" w:eastAsia="黑体"/>
          <w:b w:val="0"/>
          <w:bCs w:val="0"/>
          <w:sz w:val="32"/>
          <w:szCs w:val="32"/>
        </w:rPr>
        <w:t>与现行法律、法规、强制性国家标准及相关标准的关系</w:t>
      </w:r>
      <w:bookmarkEnd w:id="9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本标准完全满足现行国家法规的要求，与其他现行标准不冲突。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0" w:name="_Toc174636801"/>
      <w:r>
        <w:rPr>
          <w:rFonts w:hint="eastAsia" w:ascii="黑体" w:hAnsi="黑体" w:eastAsia="黑体"/>
          <w:b w:val="0"/>
          <w:bCs w:val="0"/>
          <w:sz w:val="32"/>
          <w:szCs w:val="32"/>
        </w:rPr>
        <w:t>重大分歧意见的处理和依据</w:t>
      </w:r>
      <w:bookmarkEnd w:id="10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无重大分歧。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1" w:name="_Toc174636802"/>
      <w:r>
        <w:rPr>
          <w:rFonts w:hint="eastAsia" w:ascii="黑体" w:hAnsi="黑体" w:eastAsia="黑体"/>
          <w:b w:val="0"/>
          <w:bCs w:val="0"/>
          <w:sz w:val="32"/>
          <w:szCs w:val="32"/>
        </w:rPr>
        <w:t>贯彻标准的要求和措施建议</w:t>
      </w:r>
      <w:bookmarkEnd w:id="11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标准颁布实施后，需要依托协会开展宣贯工作，组织会员单位积极采用或应用该标准，在提高大众数字产品隐私保护意识、提高数字产品数据安全保障能力等方面发挥积极作用。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2" w:name="_Toc174636803"/>
      <w:r>
        <w:rPr>
          <w:rFonts w:hint="eastAsia" w:ascii="黑体" w:hAnsi="黑体" w:eastAsia="黑体"/>
          <w:b w:val="0"/>
          <w:bCs w:val="0"/>
          <w:sz w:val="32"/>
          <w:szCs w:val="32"/>
        </w:rPr>
        <w:t>其他应予说明的事项</w:t>
      </w:r>
      <w:bookmarkEnd w:id="12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无。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3" w:name="_Toc174636804"/>
      <w:r>
        <w:rPr>
          <w:rFonts w:hint="eastAsia" w:ascii="黑体" w:hAnsi="黑体" w:eastAsia="黑体"/>
          <w:b w:val="0"/>
          <w:bCs w:val="0"/>
          <w:sz w:val="32"/>
          <w:szCs w:val="32"/>
        </w:rPr>
        <w:t>预期效果</w:t>
      </w:r>
      <w:bookmarkEnd w:id="13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《数字产品数据安全和隐私保护要求》由中国出入境检验检疫协会批准、发布后，可以充分发挥协会的行业引领作用，推动该标准的应用。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一是依托协会，通过组织培训等形式，向协会会员单位进行宣贯，使其了解掌握标准的重要意义和具体内容，用于指导、规范数字产品开发生产企业合规处理个人信息和隐私信息，不断提高数据安全合规性。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二是依托协会，组织检验检测机构为数字产品开发、生产企业提供检测评估服务，不断提高数字产品生产企业的竞争力。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43F2E"/>
    <w:multiLevelType w:val="multilevel"/>
    <w:tmpl w:val="33143F2E"/>
    <w:lvl w:ilvl="0" w:tentative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abstractNum w:abstractNumId="1">
    <w:nsid w:val="3D911758"/>
    <w:multiLevelType w:val="multilevel"/>
    <w:tmpl w:val="3D911758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68DE49F2"/>
    <w:multiLevelType w:val="multilevel"/>
    <w:tmpl w:val="68DE49F2"/>
    <w:lvl w:ilvl="0" w:tentative="0">
      <w:start w:val="1"/>
      <w:numFmt w:val="lowerLetter"/>
      <w:lvlText w:val="%1)"/>
      <w:lvlJc w:val="left"/>
      <w:pPr>
        <w:ind w:left="920" w:hanging="36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5C"/>
    <w:rsid w:val="000070CB"/>
    <w:rsid w:val="00061B01"/>
    <w:rsid w:val="001026C2"/>
    <w:rsid w:val="001216B5"/>
    <w:rsid w:val="001567BE"/>
    <w:rsid w:val="001A337A"/>
    <w:rsid w:val="00210F25"/>
    <w:rsid w:val="002630EA"/>
    <w:rsid w:val="00294AF7"/>
    <w:rsid w:val="00417A23"/>
    <w:rsid w:val="004400B3"/>
    <w:rsid w:val="004475DA"/>
    <w:rsid w:val="004A2E2A"/>
    <w:rsid w:val="004A6E25"/>
    <w:rsid w:val="00575704"/>
    <w:rsid w:val="00584C11"/>
    <w:rsid w:val="0059165C"/>
    <w:rsid w:val="005E0488"/>
    <w:rsid w:val="006D4490"/>
    <w:rsid w:val="00707F76"/>
    <w:rsid w:val="007403D6"/>
    <w:rsid w:val="00786588"/>
    <w:rsid w:val="008554D4"/>
    <w:rsid w:val="008B0074"/>
    <w:rsid w:val="009163AD"/>
    <w:rsid w:val="0096231B"/>
    <w:rsid w:val="00965C82"/>
    <w:rsid w:val="009C52AB"/>
    <w:rsid w:val="009D20F1"/>
    <w:rsid w:val="009E391E"/>
    <w:rsid w:val="00A44A82"/>
    <w:rsid w:val="00A717A6"/>
    <w:rsid w:val="00AB4EAC"/>
    <w:rsid w:val="00BE768B"/>
    <w:rsid w:val="00D75747"/>
    <w:rsid w:val="00DA06D4"/>
    <w:rsid w:val="00DB35F5"/>
    <w:rsid w:val="00F7105C"/>
    <w:rsid w:val="00F958C6"/>
    <w:rsid w:val="00FE0EA8"/>
    <w:rsid w:val="3D6C5DFF"/>
    <w:rsid w:val="707F589A"/>
    <w:rsid w:val="71DB56AC"/>
    <w:rsid w:val="B7D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left" w:pos="420"/>
        <w:tab w:val="right" w:leader="dot" w:pos="8296"/>
      </w:tabs>
      <w:spacing w:line="360" w:lineRule="auto"/>
    </w:pPr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4"/>
    <w:semiHidden/>
    <w:qFormat/>
    <w:uiPriority w:val="99"/>
  </w:style>
  <w:style w:type="character" w:customStyle="1" w:styleId="15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2040</Words>
  <Characters>2183</Characters>
  <Lines>99</Lines>
  <Paragraphs>120</Paragraphs>
  <TotalTime>179</TotalTime>
  <ScaleCrop>false</ScaleCrop>
  <LinksUpToDate>false</LinksUpToDate>
  <CharactersWithSpaces>4103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2024-08-15T18:49:00Z</dcterms:created>
  <dc:creator>PowerTime</dc:creator>
  <cp:lastModifiedBy>jiangx</cp:lastModifiedBy>
  <cp:lastPrinted>2024-10-08T07:50:53Z</cp:lastPrinted>
  <dcterms:modified xsi:type="dcterms:W3CDTF">2024-10-08T07:50:57Z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77FC5BF0BBBEF5C6C2A10467A83330CD_42</vt:lpwstr>
  </property>
</Properties>
</file>