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snapToGrid w:val="0"/>
        <w:spacing w:line="360" w:lineRule="auto"/>
        <w:ind w:left="0" w:leftChars="0" w:firstLine="0" w:firstLineChars="0"/>
        <w:jc w:val="left"/>
        <w:textAlignment w:val="auto"/>
        <w:rPr>
          <w:rFonts w:hint="eastAsia" w:ascii="黑体" w:hAnsi="黑体" w:eastAsia="黑体" w:cs="黑体"/>
          <w:kern w:val="0"/>
          <w:sz w:val="20"/>
          <w:szCs w:val="20"/>
          <w:lang w:val="en-US"/>
        </w:rPr>
        <w:sectPr>
          <w:headerReference r:id="rId6" w:type="first"/>
          <w:headerReference r:id="rId5" w:type="even"/>
          <w:footerReference r:id="rId7" w:type="even"/>
          <w:pgSz w:w="11905" w:h="16838"/>
          <w:pgMar w:top="1134" w:right="1134" w:bottom="1134" w:left="1134" w:header="1417" w:footer="1134" w:gutter="283"/>
          <w:pgNumType w:start="1"/>
          <w:cols w:space="0" w:num="1"/>
          <w:rtlGutter w:val="0"/>
          <w:docGrid w:linePitch="312" w:charSpace="0"/>
        </w:sectPr>
      </w:pPr>
      <w:bookmarkStart w:id="0" w:name="_Toc335893752"/>
      <w:bookmarkStart w:id="1" w:name="_Toc335894525"/>
      <w:bookmarkStart w:id="2" w:name="_Toc337576323"/>
      <w:bookmarkStart w:id="3" w:name="_Toc337576283"/>
      <w:bookmarkStart w:id="4" w:name="SectionMark0"/>
      <w:bookmarkStart w:id="5" w:name="SectionMark2"/>
      <w:r>
        <w:rPr>
          <w:rFonts w:hint="eastAsia" w:ascii="黑体" w:hAnsi="黑体" w:eastAsia="黑体" w:cs="黑体"/>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19050</wp:posOffset>
                </wp:positionH>
                <wp:positionV relativeFrom="paragraph">
                  <wp:posOffset>2077720</wp:posOffset>
                </wp:positionV>
                <wp:extent cx="6121400" cy="0"/>
                <wp:effectExtent l="0" t="6350" r="0" b="6350"/>
                <wp:wrapNone/>
                <wp:docPr id="20" name="直线 2"/>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a:effectLst/>
                      </wps:spPr>
                      <wps:bodyPr/>
                    </wps:wsp>
                  </a:graphicData>
                </a:graphic>
              </wp:anchor>
            </w:drawing>
          </mc:Choice>
          <mc:Fallback>
            <w:pict>
              <v:line id="直线 2" o:spid="_x0000_s1026" o:spt="20" style="position:absolute;left:0pt;margin-left:1.5pt;margin-top:163.6pt;height:0pt;width:482pt;z-index:251667456;mso-width-relative:page;mso-height-relative:page;" filled="f" stroked="t" coordsize="21600,21600" o:gfxdata="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BUpADXAAAACQEAAA8AAAAAAAAA&#10;AQAgAAAAIgAAAGRycy9kb3ducmV2LnhtbFBLAQIUABQAAAAIAIdO4kCt3h0+2QEAALEDAAAOAAAA&#10;AAAAAAEAIAAAACYBAABkcnMvZTJvRG9jLnhtbFBLBQYAAAAABgAGAFkBAABxBQAAAAA=&#10;">
                <v:fill on="f" focussize="0,0"/>
                <v:stroke weight="1pt" color="#000000" joinstyle="round"/>
                <v:imagedata o:title=""/>
                <o:lock v:ext="edit" aspectratio="f"/>
              </v:lin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70528"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22"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ffectLst/>
                      </wps:spPr>
                      <wps:txbx>
                        <w:txbxContent>
                          <w:p>
                            <w:pPr>
                              <w:pStyle w:val="130"/>
                              <w:spacing w:before="370" w:line="276" w:lineRule="auto"/>
                              <w:rPr>
                                <w:rFonts w:hint="eastAsia" w:ascii="黑体" w:hAnsi="黑体" w:eastAsia="黑体" w:cs="黑体"/>
                                <w:sz w:val="52"/>
                                <w:szCs w:val="52"/>
                              </w:rPr>
                            </w:pPr>
                            <w:bookmarkStart w:id="115" w:name="OLE_LINK3"/>
                            <w:r>
                              <w:rPr>
                                <w:rFonts w:hint="eastAsia" w:ascii="黑体" w:hAnsi="黑体" w:eastAsia="黑体" w:cs="黑体"/>
                                <w:sz w:val="52"/>
                                <w:szCs w:val="52"/>
                              </w:rPr>
                              <w:t>数字产品数据安全和隐私保护</w:t>
                            </w:r>
                          </w:p>
                          <w:p>
                            <w:pPr>
                              <w:pStyle w:val="130"/>
                              <w:spacing w:before="370" w:line="276" w:lineRule="auto"/>
                              <w:rPr>
                                <w:rFonts w:ascii="黑体" w:hAnsi="黑体" w:eastAsia="黑体" w:cs="黑体"/>
                                <w:sz w:val="52"/>
                                <w:szCs w:val="52"/>
                              </w:rPr>
                            </w:pPr>
                            <w:r>
                              <w:rPr>
                                <w:rFonts w:hint="eastAsia" w:ascii="黑体" w:hAnsi="黑体" w:eastAsia="黑体" w:cs="黑体"/>
                                <w:sz w:val="52"/>
                                <w:szCs w:val="52"/>
                                <w:lang w:val="en-US" w:eastAsia="zh-CN"/>
                              </w:rPr>
                              <w:t>检验检测机构</w:t>
                            </w:r>
                            <w:r>
                              <w:rPr>
                                <w:rFonts w:hint="eastAsia" w:ascii="黑体" w:hAnsi="黑体" w:eastAsia="黑体" w:cs="黑体"/>
                                <w:sz w:val="52"/>
                                <w:szCs w:val="52"/>
                              </w:rPr>
                              <w:t>能力要求</w:t>
                            </w:r>
                          </w:p>
                          <w:bookmarkEnd w:id="115"/>
                          <w:p>
                            <w:pPr>
                              <w:pStyle w:val="130"/>
                              <w:spacing w:line="460" w:lineRule="exact"/>
                              <w:rPr>
                                <w:rFonts w:ascii="黑体" w:hAnsi="黑体" w:eastAsia="黑体" w:cs="黑体"/>
                                <w:bCs/>
                                <w:szCs w:val="28"/>
                              </w:rPr>
                            </w:pPr>
                          </w:p>
                          <w:p>
                            <w:pPr>
                              <w:pStyle w:val="5"/>
                              <w:spacing w:before="312" w:beforeLines="100"/>
                              <w:jc w:val="center"/>
                              <w:rPr>
                                <w:rFonts w:ascii="Times New Roman" w:hAnsi="Times New Roman"/>
                              </w:rPr>
                            </w:pPr>
                            <w:r>
                              <w:rPr>
                                <w:rFonts w:ascii="黑体" w:hAnsi="黑体" w:cs="黑体"/>
                                <w:b w:val="0"/>
                              </w:rPr>
                              <w:t xml:space="preserve">Requirements for the Capability of Digital Product Data Security and Privacy Protection </w:t>
                            </w:r>
                            <w:r>
                              <w:rPr>
                                <w:rFonts w:hint="eastAsia" w:ascii="黑体" w:hAnsi="黑体" w:cs="黑体"/>
                                <w:b w:val="0"/>
                              </w:rPr>
                              <w:t xml:space="preserve">Inspection </w:t>
                            </w:r>
                            <w:r>
                              <w:rPr>
                                <w:rFonts w:hint="eastAsia" w:ascii="黑体" w:hAnsi="黑体" w:cs="黑体"/>
                                <w:b w:val="0"/>
                                <w:lang w:val="en-US" w:eastAsia="zh-CN"/>
                              </w:rPr>
                              <w:t>a</w:t>
                            </w:r>
                            <w:r>
                              <w:rPr>
                                <w:rFonts w:hint="eastAsia" w:ascii="黑体" w:hAnsi="黑体" w:cs="黑体"/>
                                <w:b w:val="0"/>
                              </w:rPr>
                              <w:t>nd Testing Organization</w:t>
                            </w:r>
                          </w:p>
                          <w:p>
                            <w:pPr>
                              <w:pStyle w:val="130"/>
                            </w:pPr>
                            <w:r>
                              <w:rPr>
                                <w:rFonts w:hint="eastAsia"/>
                              </w:rPr>
                              <w:t>（</w:t>
                            </w:r>
                            <w:r>
                              <w:rPr>
                                <w:rFonts w:hint="eastAsia"/>
                                <w:lang w:val="en-US" w:eastAsia="zh-CN"/>
                              </w:rPr>
                              <w:t>征求意见稿</w:t>
                            </w:r>
                            <w:r>
                              <w:rPr>
                                <w:rFonts w:hint="eastAsia"/>
                              </w:rPr>
                              <w:t>）</w:t>
                            </w:r>
                          </w:p>
                          <w:p>
                            <w:pPr>
                              <w:pStyle w:val="130"/>
                            </w:pPr>
                          </w:p>
                          <w:p>
                            <w:pPr>
                              <w:jc w:val="center"/>
                              <w:rPr>
                                <w:sz w:val="30"/>
                                <w:szCs w:val="30"/>
                              </w:rPr>
                            </w:pPr>
                          </w:p>
                          <w:p>
                            <w:pPr>
                              <w:pStyle w:val="130"/>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70528;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FefcdgAAAAJAQAADwAA&#10;AAAAAAABACAAAAAiAAAAZHJzL2Rvd25yZXYueG1sUEsBAhQAFAAAAAgAh07iQNwUou8WAgAAOwQA&#10;AA4AAAAAAAAAAQAgAAAAJwEAAGRycy9lMm9Eb2MueG1sUEsFBgAAAAAGAAYAWQEAAK8FAAAAAA==&#10;">
                <v:fill on="t" focussize="0,0"/>
                <v:stroke on="f"/>
                <v:imagedata o:title=""/>
                <o:lock v:ext="edit" aspectratio="f"/>
                <v:textbox inset="0mm,0mm,0mm,0mm">
                  <w:txbxContent>
                    <w:p>
                      <w:pPr>
                        <w:pStyle w:val="130"/>
                        <w:spacing w:before="370" w:line="276" w:lineRule="auto"/>
                        <w:rPr>
                          <w:rFonts w:hint="eastAsia" w:ascii="黑体" w:hAnsi="黑体" w:eastAsia="黑体" w:cs="黑体"/>
                          <w:sz w:val="52"/>
                          <w:szCs w:val="52"/>
                        </w:rPr>
                      </w:pPr>
                      <w:bookmarkStart w:id="115" w:name="OLE_LINK3"/>
                      <w:r>
                        <w:rPr>
                          <w:rFonts w:hint="eastAsia" w:ascii="黑体" w:hAnsi="黑体" w:eastAsia="黑体" w:cs="黑体"/>
                          <w:sz w:val="52"/>
                          <w:szCs w:val="52"/>
                        </w:rPr>
                        <w:t>数字产品数据安全和隐私保护</w:t>
                      </w:r>
                    </w:p>
                    <w:p>
                      <w:pPr>
                        <w:pStyle w:val="130"/>
                        <w:spacing w:before="370" w:line="276" w:lineRule="auto"/>
                        <w:rPr>
                          <w:rFonts w:ascii="黑体" w:hAnsi="黑体" w:eastAsia="黑体" w:cs="黑体"/>
                          <w:sz w:val="52"/>
                          <w:szCs w:val="52"/>
                        </w:rPr>
                      </w:pPr>
                      <w:r>
                        <w:rPr>
                          <w:rFonts w:hint="eastAsia" w:ascii="黑体" w:hAnsi="黑体" w:eastAsia="黑体" w:cs="黑体"/>
                          <w:sz w:val="52"/>
                          <w:szCs w:val="52"/>
                          <w:lang w:val="en-US" w:eastAsia="zh-CN"/>
                        </w:rPr>
                        <w:t>检验检测机构</w:t>
                      </w:r>
                      <w:r>
                        <w:rPr>
                          <w:rFonts w:hint="eastAsia" w:ascii="黑体" w:hAnsi="黑体" w:eastAsia="黑体" w:cs="黑体"/>
                          <w:sz w:val="52"/>
                          <w:szCs w:val="52"/>
                        </w:rPr>
                        <w:t>能力要求</w:t>
                      </w:r>
                    </w:p>
                    <w:bookmarkEnd w:id="115"/>
                    <w:p>
                      <w:pPr>
                        <w:pStyle w:val="130"/>
                        <w:spacing w:line="460" w:lineRule="exact"/>
                        <w:rPr>
                          <w:rFonts w:ascii="黑体" w:hAnsi="黑体" w:eastAsia="黑体" w:cs="黑体"/>
                          <w:bCs/>
                          <w:szCs w:val="28"/>
                        </w:rPr>
                      </w:pPr>
                    </w:p>
                    <w:p>
                      <w:pPr>
                        <w:pStyle w:val="5"/>
                        <w:spacing w:before="312" w:beforeLines="100"/>
                        <w:jc w:val="center"/>
                        <w:rPr>
                          <w:rFonts w:ascii="Times New Roman" w:hAnsi="Times New Roman"/>
                        </w:rPr>
                      </w:pPr>
                      <w:r>
                        <w:rPr>
                          <w:rFonts w:ascii="黑体" w:hAnsi="黑体" w:cs="黑体"/>
                          <w:b w:val="0"/>
                        </w:rPr>
                        <w:t xml:space="preserve">Requirements for the Capability of Digital Product Data Security and Privacy Protection </w:t>
                      </w:r>
                      <w:r>
                        <w:rPr>
                          <w:rFonts w:hint="eastAsia" w:ascii="黑体" w:hAnsi="黑体" w:cs="黑体"/>
                          <w:b w:val="0"/>
                        </w:rPr>
                        <w:t xml:space="preserve">Inspection </w:t>
                      </w:r>
                      <w:r>
                        <w:rPr>
                          <w:rFonts w:hint="eastAsia" w:ascii="黑体" w:hAnsi="黑体" w:cs="黑体"/>
                          <w:b w:val="0"/>
                          <w:lang w:val="en-US" w:eastAsia="zh-CN"/>
                        </w:rPr>
                        <w:t>a</w:t>
                      </w:r>
                      <w:r>
                        <w:rPr>
                          <w:rFonts w:hint="eastAsia" w:ascii="黑体" w:hAnsi="黑体" w:cs="黑体"/>
                          <w:b w:val="0"/>
                        </w:rPr>
                        <w:t>nd Testing Organization</w:t>
                      </w:r>
                    </w:p>
                    <w:p>
                      <w:pPr>
                        <w:pStyle w:val="130"/>
                      </w:pPr>
                      <w:r>
                        <w:rPr>
                          <w:rFonts w:hint="eastAsia"/>
                        </w:rPr>
                        <w:t>（</w:t>
                      </w:r>
                      <w:r>
                        <w:rPr>
                          <w:rFonts w:hint="eastAsia"/>
                          <w:lang w:val="en-US" w:eastAsia="zh-CN"/>
                        </w:rPr>
                        <w:t>征求意见稿</w:t>
                      </w:r>
                      <w:r>
                        <w:rPr>
                          <w:rFonts w:hint="eastAsia"/>
                        </w:rPr>
                        <w:t>）</w:t>
                      </w:r>
                    </w:p>
                    <w:p>
                      <w:pPr>
                        <w:pStyle w:val="130"/>
                      </w:pPr>
                    </w:p>
                    <w:p>
                      <w:pPr>
                        <w:jc w:val="center"/>
                        <w:rPr>
                          <w:sz w:val="30"/>
                          <w:szCs w:val="30"/>
                        </w:rPr>
                      </w:pPr>
                    </w:p>
                    <w:p>
                      <w:pPr>
                        <w:pStyle w:val="130"/>
                      </w:pP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-55245</wp:posOffset>
                </wp:positionH>
                <wp:positionV relativeFrom="paragraph">
                  <wp:posOffset>8695690</wp:posOffset>
                </wp:positionV>
                <wp:extent cx="5831840" cy="0"/>
                <wp:effectExtent l="0" t="6350" r="0" b="6350"/>
                <wp:wrapNone/>
                <wp:docPr id="21" name="直线 3"/>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2700">
                          <a:solidFill>
                            <a:srgbClr val="000000"/>
                          </a:solidFill>
                          <a:round/>
                        </a:ln>
                        <a:effectLst/>
                      </wps:spPr>
                      <wps:bodyPr/>
                    </wps:wsp>
                  </a:graphicData>
                </a:graphic>
              </wp:anchor>
            </w:drawing>
          </mc:Choice>
          <mc:Fallback>
            <w:pict>
              <v:line id="直线 3" o:spid="_x0000_s1026" o:spt="20" style="position:absolute;left:0pt;margin-left:-4.35pt;margin-top:684.7pt;height:0pt;width:459.2pt;z-index:251668480;mso-width-relative:page;mso-height-relative:page;" filled="f" stroked="t" coordsize="21600,21600" o:gfxdata="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uo32dgAAAAMAQAADwAA&#10;AAAAAAABACAAAAAiAAAAZHJzL2Rvd25yZXYueG1sUEsBAhQAFAAAAAgAh07iQGZ5ZAHdAQAAsQMA&#10;AA4AAAAAAAAAAQAgAAAAJwEAAGRycy9lMm9Eb2MueG1sUEsFBgAAAAAGAAYAWQEAAHYFAAAAAA==&#10;">
                <v:fill on="f" focussize="0,0"/>
                <v:stroke weight="1pt" color="#000000" joinstyle="round"/>
                <v:imagedata o:title=""/>
                <o:lock v:ext="edit" aspectratio="f"/>
              </v:lin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5408" behindDoc="0" locked="1" layoutInCell="1" allowOverlap="1">
                <wp:simplePos x="0" y="0"/>
                <wp:positionH relativeFrom="margin">
                  <wp:posOffset>-55245</wp:posOffset>
                </wp:positionH>
                <wp:positionV relativeFrom="margin">
                  <wp:posOffset>8871585</wp:posOffset>
                </wp:positionV>
                <wp:extent cx="5887085" cy="363220"/>
                <wp:effectExtent l="0" t="0" r="18415" b="17780"/>
                <wp:wrapNone/>
                <wp:docPr id="19" name="fmFrame7"/>
                <wp:cNvGraphicFramePr/>
                <a:graphic xmlns:a="http://schemas.openxmlformats.org/drawingml/2006/main">
                  <a:graphicData uri="http://schemas.microsoft.com/office/word/2010/wordprocessingShape">
                    <wps:wsp>
                      <wps:cNvSpPr txBox="1">
                        <a:spLocks noChangeArrowheads="1"/>
                      </wps:cNvSpPr>
                      <wps:spPr bwMode="auto">
                        <a:xfrm>
                          <a:off x="0" y="0"/>
                          <a:ext cx="5887085" cy="363220"/>
                        </a:xfrm>
                        <a:prstGeom prst="rect">
                          <a:avLst/>
                        </a:prstGeom>
                        <a:solidFill>
                          <a:srgbClr val="FFFFFF"/>
                        </a:solidFill>
                        <a:ln>
                          <a:noFill/>
                        </a:ln>
                        <a:effectLst/>
                      </wps:spPr>
                      <wps:txbx>
                        <w:txbxContent>
                          <w:p>
                            <w:pPr>
                              <w:pStyle w:val="156"/>
                              <w:spacing w:before="156" w:after="156"/>
                            </w:pPr>
                            <w:r>
                              <w:rPr>
                                <w:rFonts w:hint="eastAsia"/>
                                <w:sz w:val="32"/>
                                <w:szCs w:val="32"/>
                              </w:rPr>
                              <w:t>中国出入境检验检疫协会</w:t>
                            </w:r>
                            <w:r>
                              <w:rPr>
                                <w:rStyle w:val="234"/>
                                <w:rFonts w:hint="eastAsia"/>
                              </w:rPr>
                              <w:t xml:space="preserve"> 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4.35pt;margin-top:698.55pt;height:28.6pt;width:463.55pt;mso-position-horizontal-relative:margin;mso-position-vertical-relative:margin;z-index:251665408;mso-width-relative:page;mso-height-relative:page;" fillcolor="#FFFFFF" filled="t" stroked="f" coordsize="21600,21600" o:gfxdata="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iNV009sAAAAMAQAA&#10;DwAAAAAAAAABACAAAAAiAAAAZHJzL2Rvd25yZXYueG1sUEsBAhQAFAAAAAgAh07iQF5oev4WAgAA&#10;OgQAAA4AAAAAAAAAAQAgAAAAKgEAAGRycy9lMm9Eb2MueG1sUEsFBgAAAAAGAAYAWQEAALIFAAAA&#10;AA==&#10;">
                <v:fill on="t" focussize="0,0"/>
                <v:stroke on="f"/>
                <v:imagedata o:title=""/>
                <o:lock v:ext="edit" aspectratio="f"/>
                <v:textbox inset="0mm,0mm,0mm,0mm">
                  <w:txbxContent>
                    <w:p>
                      <w:pPr>
                        <w:pStyle w:val="156"/>
                        <w:spacing w:before="156" w:after="156"/>
                      </w:pPr>
                      <w:r>
                        <w:rPr>
                          <w:rFonts w:hint="eastAsia"/>
                          <w:sz w:val="32"/>
                          <w:szCs w:val="32"/>
                        </w:rPr>
                        <w:t>中国出入境检验检疫协会</w:t>
                      </w:r>
                      <w:r>
                        <w:rPr>
                          <w:rStyle w:val="234"/>
                          <w:rFonts w:hint="eastAsia"/>
                        </w:rPr>
                        <w:t xml:space="preserve"> 发布</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4384" behindDoc="0" locked="1" layoutInCell="1" allowOverlap="1">
                <wp:simplePos x="0" y="0"/>
                <wp:positionH relativeFrom="margin">
                  <wp:posOffset>3758565</wp:posOffset>
                </wp:positionH>
                <wp:positionV relativeFrom="margin">
                  <wp:posOffset>8242935</wp:posOffset>
                </wp:positionV>
                <wp:extent cx="2019300" cy="397510"/>
                <wp:effectExtent l="0" t="0" r="0" b="2540"/>
                <wp:wrapNone/>
                <wp:docPr id="18"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97566"/>
                        </a:xfrm>
                        <a:prstGeom prst="rect">
                          <a:avLst/>
                        </a:prstGeom>
                        <a:solidFill>
                          <a:srgbClr val="FFFFFF"/>
                        </a:solidFill>
                        <a:ln>
                          <a:noFill/>
                        </a:ln>
                        <a:effectLst/>
                      </wps:spPr>
                      <wps:txbx>
                        <w:txbxContent>
                          <w:p>
                            <w:pPr>
                              <w:pStyle w:val="159"/>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5.95pt;margin-top:649.05pt;height:31.3pt;width:159pt;mso-position-horizontal-relative:margin;mso-position-vertical-relative:margin;z-index:251664384;mso-width-relative:page;mso-height-relative:page;" fillcolor="#FFFFFF" filled="t" stroked="f" coordsize="21600,21600" o:gfxdata="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X6sUs2gAAAA0BAAAPAAAA&#10;AAAAAAEAIAAAACIAAABkcnMvZG93bnJldi54bWxQSwECFAAUAAAACACHTuJAPNyIVhMCAAA6BAAA&#10;DgAAAAAAAAABACAAAAApAQAAZHJzL2Uyb0RvYy54bWxQSwUGAAAAAAYABgBZAQAArgUAAAAA&#10;">
                <v:fill on="t" focussize="0,0"/>
                <v:stroke on="f"/>
                <v:imagedata o:title=""/>
                <o:lock v:ext="edit" aspectratio="f"/>
                <v:textbox inset="0mm,0mm,0mm,0mm">
                  <w:txbxContent>
                    <w:p>
                      <w:pPr>
                        <w:pStyle w:val="159"/>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6432" behindDoc="0" locked="1" layoutInCell="1" allowOverlap="1">
                <wp:simplePos x="0" y="0"/>
                <wp:positionH relativeFrom="margin">
                  <wp:posOffset>-57150</wp:posOffset>
                </wp:positionH>
                <wp:positionV relativeFrom="margin">
                  <wp:posOffset>8242935</wp:posOffset>
                </wp:positionV>
                <wp:extent cx="2019300" cy="397510"/>
                <wp:effectExtent l="0" t="0" r="0" b="2540"/>
                <wp:wrapNone/>
                <wp:docPr id="1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97566"/>
                        </a:xfrm>
                        <a:prstGeom prst="rect">
                          <a:avLst/>
                        </a:prstGeom>
                        <a:solidFill>
                          <a:srgbClr val="FFFFFF"/>
                        </a:solidFill>
                        <a:ln>
                          <a:noFill/>
                        </a:ln>
                        <a:effectLst/>
                      </wps:spPr>
                      <wps:txbx>
                        <w:txbxContent>
                          <w:p>
                            <w:pPr>
                              <w:pStyle w:val="125"/>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4.5pt;margin-top:649.05pt;height:31.3pt;width:159pt;mso-position-horizontal-relative:margin;mso-position-vertical-relative:margin;z-index:251666432;mso-width-relative:page;mso-height-relative:page;" fillcolor="#FFFFFF" filled="t" stroked="f" coordsize="21600,21600" o:gfxdata="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qhUEo2QAAAAwBAAAPAAAA&#10;AAAAAAEAIAAAACIAAABkcnMvZG93bnJldi54bWxQSwECFAAUAAAACACHTuJAel5WOxQCAAA6BAAA&#10;DgAAAAAAAAABACAAAAAoAQAAZHJzL2Uyb0RvYy54bWxQSwUGAAAAAAYABgBZAQAArgUAAAAA&#10;">
                <v:fill on="t" focussize="0,0"/>
                <v:stroke on="f"/>
                <v:imagedata o:title=""/>
                <o:lock v:ext="edit" aspectratio="f"/>
                <v:textbox inset="0mm,0mm,0mm,0mm">
                  <w:txbxContent>
                    <w:p>
                      <w:pPr>
                        <w:pStyle w:val="125"/>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3360" behindDoc="0" locked="1" layoutInCell="1" allowOverlap="1">
                <wp:simplePos x="0" y="0"/>
                <wp:positionH relativeFrom="margin">
                  <wp:posOffset>112395</wp:posOffset>
                </wp:positionH>
                <wp:positionV relativeFrom="margin">
                  <wp:posOffset>1285240</wp:posOffset>
                </wp:positionV>
                <wp:extent cx="5873750" cy="786130"/>
                <wp:effectExtent l="0" t="0" r="0" b="0"/>
                <wp:wrapNone/>
                <wp:docPr id="16" name="fmFrame3"/>
                <wp:cNvGraphicFramePr/>
                <a:graphic xmlns:a="http://schemas.openxmlformats.org/drawingml/2006/main">
                  <a:graphicData uri="http://schemas.microsoft.com/office/word/2010/wordprocessingShape">
                    <wps:wsp>
                      <wps:cNvSpPr txBox="1">
                        <a:spLocks noChangeArrowheads="1"/>
                      </wps:cNvSpPr>
                      <wps:spPr bwMode="auto">
                        <a:xfrm>
                          <a:off x="0" y="0"/>
                          <a:ext cx="5683250" cy="720090"/>
                        </a:xfrm>
                        <a:prstGeom prst="rect">
                          <a:avLst/>
                        </a:prstGeom>
                        <a:solidFill>
                          <a:srgbClr val="FFFFFF">
                            <a:alpha val="0"/>
                          </a:srgbClr>
                        </a:solidFill>
                        <a:ln>
                          <a:noFill/>
                        </a:ln>
                        <a:effectLst/>
                      </wps:spPr>
                      <wps:txbx>
                        <w:txbxContent>
                          <w:p>
                            <w:pPr>
                              <w:pStyle w:val="248"/>
                              <w:wordWrap w:val="0"/>
                              <w:spacing w:before="0"/>
                              <w:ind w:firstLine="420"/>
                              <w:rPr>
                                <w:rFonts w:ascii="黑体" w:eastAsia="黑体"/>
                              </w:rPr>
                            </w:pPr>
                          </w:p>
                          <w:p>
                            <w:pPr>
                              <w:pStyle w:val="248"/>
                              <w:wordWrap w:val="0"/>
                              <w:spacing w:before="0"/>
                              <w:ind w:firstLine="420"/>
                              <w:rPr>
                                <w:rFonts w:ascii="黑体" w:eastAsia="黑体"/>
                              </w:rPr>
                            </w:pPr>
                            <w:r>
                              <w:rPr>
                                <w:rFonts w:hint="eastAsia"/>
                                <w:szCs w:val="28"/>
                              </w:rPr>
                              <w:t xml:space="preserve"> </w:t>
                            </w:r>
                            <w:bookmarkStart w:id="116" w:name="_Hlk149209659"/>
                            <w:r>
                              <w:rPr>
                                <w:rFonts w:ascii="黑体" w:hAnsi="黑体" w:eastAsia="黑体" w:cs="黑体"/>
                                <w:szCs w:val="28"/>
                              </w:rPr>
                              <w:t>P/CIQA-</w:t>
                            </w:r>
                            <w:r>
                              <w:rPr>
                                <w:rFonts w:hint="eastAsia" w:ascii="黑体" w:hAnsi="黑体" w:eastAsia="黑体" w:cs="黑体"/>
                                <w:szCs w:val="28"/>
                                <w:lang w:val="en-US" w:eastAsia="zh-CN"/>
                              </w:rPr>
                              <w:t>199</w:t>
                            </w:r>
                            <w:r>
                              <w:rPr>
                                <w:rFonts w:ascii="黑体" w:hAnsi="黑体" w:eastAsia="黑体" w:cs="黑体"/>
                                <w:szCs w:val="28"/>
                              </w:rPr>
                              <w:t>-</w:t>
                            </w:r>
                            <w:bookmarkEnd w:id="116"/>
                            <w:r>
                              <w:rPr>
                                <w:rFonts w:ascii="黑体" w:hAnsi="黑体" w:eastAsia="黑体" w:cs="黑体"/>
                                <w:szCs w:val="28"/>
                              </w:rPr>
                              <w:t>2024</w:t>
                            </w:r>
                          </w:p>
                          <w:p>
                            <w:pPr>
                              <w:pStyle w:val="248"/>
                              <w:ind w:right="105" w:firstLine="420"/>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8.85pt;margin-top:101.2pt;height:61.9pt;width:462.5pt;mso-position-horizontal-relative:margin;mso-position-vertical-relative:margin;z-index:251663360;mso-width-relative:page;mso-height-relative:page;" fillcolor="#FFFFFF" filled="t" stroked="f" coordsize="21600,21600" o:gfxdata="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ZSkhb1gAA&#10;AAoBAAAPAAAAAAAAAAEAIAAAACIAAABkcnMvZG93bnJldi54bWxQSwECFAAUAAAACACHTuJAd2ow&#10;jSACAABXBAAADgAAAAAAAAABACAAAAAlAQAAZHJzL2Uyb0RvYy54bWxQSwUGAAAAAAYABgBZAQAA&#10;twUAAAAA&#10;">
                <v:fill on="t" opacity="0f" focussize="0,0"/>
                <v:stroke on="f"/>
                <v:imagedata o:title=""/>
                <o:lock v:ext="edit" aspectratio="f"/>
                <v:textbox inset="0mm,0mm,0mm,0mm">
                  <w:txbxContent>
                    <w:p>
                      <w:pPr>
                        <w:pStyle w:val="248"/>
                        <w:wordWrap w:val="0"/>
                        <w:spacing w:before="0"/>
                        <w:ind w:firstLine="420"/>
                        <w:rPr>
                          <w:rFonts w:ascii="黑体" w:eastAsia="黑体"/>
                        </w:rPr>
                      </w:pPr>
                    </w:p>
                    <w:p>
                      <w:pPr>
                        <w:pStyle w:val="248"/>
                        <w:wordWrap w:val="0"/>
                        <w:spacing w:before="0"/>
                        <w:ind w:firstLine="420"/>
                        <w:rPr>
                          <w:rFonts w:ascii="黑体" w:eastAsia="黑体"/>
                        </w:rPr>
                      </w:pPr>
                      <w:r>
                        <w:rPr>
                          <w:rFonts w:hint="eastAsia"/>
                          <w:szCs w:val="28"/>
                        </w:rPr>
                        <w:t xml:space="preserve"> </w:t>
                      </w:r>
                      <w:bookmarkStart w:id="116" w:name="_Hlk149209659"/>
                      <w:r>
                        <w:rPr>
                          <w:rFonts w:ascii="黑体" w:hAnsi="黑体" w:eastAsia="黑体" w:cs="黑体"/>
                          <w:szCs w:val="28"/>
                        </w:rPr>
                        <w:t>P/CIQA-</w:t>
                      </w:r>
                      <w:r>
                        <w:rPr>
                          <w:rFonts w:hint="eastAsia" w:ascii="黑体" w:hAnsi="黑体" w:eastAsia="黑体" w:cs="黑体"/>
                          <w:szCs w:val="28"/>
                          <w:lang w:val="en-US" w:eastAsia="zh-CN"/>
                        </w:rPr>
                        <w:t>199</w:t>
                      </w:r>
                      <w:r>
                        <w:rPr>
                          <w:rFonts w:ascii="黑体" w:hAnsi="黑体" w:eastAsia="黑体" w:cs="黑体"/>
                          <w:szCs w:val="28"/>
                        </w:rPr>
                        <w:t>-</w:t>
                      </w:r>
                      <w:bookmarkEnd w:id="116"/>
                      <w:r>
                        <w:rPr>
                          <w:rFonts w:ascii="黑体" w:hAnsi="黑体" w:eastAsia="黑体" w:cs="黑体"/>
                          <w:szCs w:val="28"/>
                        </w:rPr>
                        <w:t>2024</w:t>
                      </w:r>
                    </w:p>
                    <w:p>
                      <w:pPr>
                        <w:pStyle w:val="248"/>
                        <w:ind w:right="105" w:firstLine="420"/>
                      </w:pP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2336" behindDoc="0" locked="1" layoutInCell="1" allowOverlap="1">
                <wp:simplePos x="0" y="0"/>
                <wp:positionH relativeFrom="margin">
                  <wp:posOffset>3353435</wp:posOffset>
                </wp:positionH>
                <wp:positionV relativeFrom="margin">
                  <wp:posOffset>244475</wp:posOffset>
                </wp:positionV>
                <wp:extent cx="2371090" cy="720090"/>
                <wp:effectExtent l="0" t="0" r="10160" b="3810"/>
                <wp:wrapNone/>
                <wp:docPr id="15" name="fmFrame8"/>
                <wp:cNvGraphicFramePr/>
                <a:graphic xmlns:a="http://schemas.openxmlformats.org/drawingml/2006/main">
                  <a:graphicData uri="http://schemas.microsoft.com/office/word/2010/wordprocessingShape">
                    <wps:wsp>
                      <wps:cNvSpPr txBox="1">
                        <a:spLocks noChangeArrowheads="1"/>
                      </wps:cNvSpPr>
                      <wps:spPr bwMode="auto">
                        <a:xfrm>
                          <a:off x="0" y="0"/>
                          <a:ext cx="2371090" cy="720090"/>
                        </a:xfrm>
                        <a:prstGeom prst="rect">
                          <a:avLst/>
                        </a:prstGeom>
                        <a:solidFill>
                          <a:srgbClr val="FFFFFF"/>
                        </a:solidFill>
                        <a:ln>
                          <a:noFill/>
                        </a:ln>
                        <a:effectLst/>
                      </wps:spPr>
                      <wps:txbx>
                        <w:txbxContent>
                          <w:p>
                            <w:pPr>
                              <w:pStyle w:val="54"/>
                              <w:spacing w:before="156" w:after="156"/>
                            </w:pPr>
                          </w:p>
                        </w:txbxContent>
                      </wps:txbx>
                      <wps:bodyPr rot="0" vert="horz" wrap="square" lIns="0" tIns="0" rIns="0" bIns="0" anchor="t" anchorCtr="0" upright="1">
                        <a:noAutofit/>
                      </wps:bodyPr>
                    </wps:wsp>
                  </a:graphicData>
                </a:graphic>
              </wp:anchor>
            </w:drawing>
          </mc:Choice>
          <mc:Fallback>
            <w:pict>
              <v:shape id="fmFrame8" o:spid="_x0000_s1026" o:spt="202" type="#_x0000_t202" style="position:absolute;left:0pt;margin-left:264.05pt;margin-top:19.25pt;height:56.7pt;width:186.7pt;mso-position-horizontal-relative:margin;mso-position-vertical-relative:margin;z-index:251662336;mso-width-relative:page;mso-height-relative:page;" fillcolor="#FFFFFF" filled="t" stroked="f" coordsize="21600,21600" o:gfxdata="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acM3q2QAAAAoBAAAPAAAAAAAA&#10;AAEAIAAAACIAAABkcnMvZG93bnJldi54bWxQSwECFAAUAAAACACHTuJAe3E7CRECAAA6BAAADgAA&#10;AAAAAAABACAAAAAoAQAAZHJzL2Uyb0RvYy54bWxQSwUGAAAAAAYABgBZAQAAqwUAAAAA&#10;">
                <v:fill on="t" focussize="0,0"/>
                <v:stroke on="f"/>
                <v:imagedata o:title=""/>
                <o:lock v:ext="edit" aspectratio="f"/>
                <v:textbox inset="0mm,0mm,0mm,0mm">
                  <w:txbxContent>
                    <w:p>
                      <w:pPr>
                        <w:pStyle w:val="54"/>
                        <w:spacing w:before="156" w:after="156"/>
                      </w:pP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1312" behindDoc="0" locked="1" layoutInCell="1" allowOverlap="1">
                <wp:simplePos x="0" y="0"/>
                <wp:positionH relativeFrom="margin">
                  <wp:posOffset>454025</wp:posOffset>
                </wp:positionH>
                <wp:positionV relativeFrom="margin">
                  <wp:posOffset>836295</wp:posOffset>
                </wp:positionV>
                <wp:extent cx="5355590" cy="654685"/>
                <wp:effectExtent l="0" t="0" r="8890" b="635"/>
                <wp:wrapNone/>
                <wp:docPr id="14" name="fmFrame2"/>
                <wp:cNvGraphicFramePr/>
                <a:graphic xmlns:a="http://schemas.openxmlformats.org/drawingml/2006/main">
                  <a:graphicData uri="http://schemas.microsoft.com/office/word/2010/wordprocessingShape">
                    <wps:wsp>
                      <wps:cNvSpPr txBox="1">
                        <a:spLocks noChangeArrowheads="1"/>
                      </wps:cNvSpPr>
                      <wps:spPr bwMode="auto">
                        <a:xfrm>
                          <a:off x="0" y="0"/>
                          <a:ext cx="5831840" cy="654685"/>
                        </a:xfrm>
                        <a:prstGeom prst="rect">
                          <a:avLst/>
                        </a:prstGeom>
                        <a:solidFill>
                          <a:srgbClr val="FFFFFF"/>
                        </a:solidFill>
                        <a:ln>
                          <a:noFill/>
                        </a:ln>
                        <a:effectLst/>
                      </wps:spPr>
                      <wps:txbx>
                        <w:txbxContent>
                          <w:p>
                            <w:pPr>
                              <w:pStyle w:val="155"/>
                              <w:spacing w:after="468"/>
                              <w:rPr>
                                <w:rFonts w:ascii="小标宋" w:eastAsia="小标宋"/>
                                <w:sz w:val="84"/>
                                <w:szCs w:val="84"/>
                              </w:rPr>
                            </w:pPr>
                            <w:r>
                              <w:rPr>
                                <w:rFonts w:hint="eastAsia" w:ascii="小标宋" w:eastAsia="小标宋"/>
                                <w:sz w:val="84"/>
                                <w:szCs w:val="84"/>
                              </w:rPr>
                              <w:t>团体标准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35.75pt;margin-top:65.85pt;height:51.55pt;width:421.7pt;mso-position-horizontal-relative:margin;mso-position-vertical-relative:margin;z-index:251661312;mso-width-relative:page;mso-height-relative:page;" fillcolor="#FFFFFF" filled="t" stroked="f" coordsize="21600,21600" o:gfxdata="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oX66vaAAAACgEAAA8A&#10;AAAAAAAAAQAgAAAAIgAAAGRycy9kb3ducmV2LnhtbFBLAQIUABQAAAAIAIdO4kBzQvXcFQIAADoE&#10;AAAOAAAAAAAAAAEAIAAAACkBAABkcnMvZTJvRG9jLnhtbFBLBQYAAAAABgAGAFkBAACwBQAAAAA=&#10;">
                <v:fill on="t" focussize="0,0"/>
                <v:stroke on="f"/>
                <v:imagedata o:title=""/>
                <o:lock v:ext="edit" aspectratio="f"/>
                <v:textbox inset="0mm,0mm,0mm,0mm">
                  <w:txbxContent>
                    <w:p>
                      <w:pPr>
                        <w:pStyle w:val="155"/>
                        <w:spacing w:after="468"/>
                        <w:rPr>
                          <w:rFonts w:ascii="小标宋" w:eastAsia="小标宋"/>
                          <w:sz w:val="84"/>
                          <w:szCs w:val="84"/>
                        </w:rPr>
                      </w:pPr>
                      <w:r>
                        <w:rPr>
                          <w:rFonts w:hint="eastAsia" w:ascii="小标宋" w:eastAsia="小标宋"/>
                          <w:sz w:val="84"/>
                          <w:szCs w:val="84"/>
                        </w:rPr>
                        <w:t>团体标准</w:t>
                      </w:r>
                    </w:p>
                  </w:txbxContent>
                </v:textbox>
                <w10:anchorlock/>
              </v:shape>
            </w:pict>
          </mc:Fallback>
        </mc:AlternateContent>
      </w:r>
      <w:r>
        <w:rPr>
          <w:rFonts w:hint="eastAsia" w:ascii="黑体" w:hAnsi="黑体" w:eastAsia="黑体" w:cs="黑体"/>
          <w:kern w:val="0"/>
          <w:sz w:val="20"/>
          <w:szCs w:val="20"/>
        </w:rPr>
        <mc:AlternateContent>
          <mc:Choice Requires="wps">
            <w:drawing>
              <wp:anchor distT="0" distB="0" distL="114300" distR="114300" simplePos="0" relativeHeight="251660288" behindDoc="0" locked="1" layoutInCell="1" allowOverlap="1">
                <wp:simplePos x="0" y="0"/>
                <wp:positionH relativeFrom="margin">
                  <wp:posOffset>10795</wp:posOffset>
                </wp:positionH>
                <wp:positionV relativeFrom="margin">
                  <wp:posOffset>177800</wp:posOffset>
                </wp:positionV>
                <wp:extent cx="1006475" cy="498475"/>
                <wp:effectExtent l="0" t="0" r="3175" b="15875"/>
                <wp:wrapNone/>
                <wp:docPr id="13" name="fmFrame1"/>
                <wp:cNvGraphicFramePr/>
                <a:graphic xmlns:a="http://schemas.openxmlformats.org/drawingml/2006/main">
                  <a:graphicData uri="http://schemas.microsoft.com/office/word/2010/wordprocessingShape">
                    <wps:wsp>
                      <wps:cNvSpPr txBox="1">
                        <a:spLocks noChangeArrowheads="1"/>
                      </wps:cNvSpPr>
                      <wps:spPr bwMode="auto">
                        <a:xfrm>
                          <a:off x="0" y="0"/>
                          <a:ext cx="1006475" cy="498475"/>
                        </a:xfrm>
                        <a:prstGeom prst="rect">
                          <a:avLst/>
                        </a:prstGeom>
                        <a:solidFill>
                          <a:srgbClr val="FFFFFF"/>
                        </a:solidFill>
                        <a:ln>
                          <a:noFill/>
                        </a:ln>
                        <a:effectLst/>
                      </wps:spPr>
                      <wps:txbx>
                        <w:txbxContent>
                          <w:p>
                            <w:pPr>
                              <w:rPr>
                                <w:rFonts w:ascii="黑体" w:hAnsi="黑体" w:eastAsia="黑体" w:cs="黑体"/>
                              </w:rPr>
                            </w:pPr>
                            <w:r>
                              <w:rPr>
                                <w:rFonts w:hint="eastAsia" w:ascii="黑体" w:hAnsi="黑体" w:eastAsia="黑体" w:cs="黑体"/>
                              </w:rPr>
                              <w:t>ICS 35.240</w:t>
                            </w:r>
                          </w:p>
                          <w:p>
                            <w:pPr>
                              <w:rPr>
                                <w:rFonts w:hint="default" w:ascii="黑体" w:hAnsi="黑体" w:eastAsia="黑体" w:cs="黑体"/>
                                <w:szCs w:val="22"/>
                                <w:lang w:val="en-US" w:eastAsia="zh-CN"/>
                              </w:rPr>
                            </w:pPr>
                            <w:r>
                              <w:rPr>
                                <w:rFonts w:hint="eastAsia" w:ascii="黑体" w:hAnsi="黑体" w:eastAsia="黑体" w:cs="黑体"/>
                              </w:rPr>
                              <w:t xml:space="preserve">CCS </w:t>
                            </w:r>
                            <w:r>
                              <w:rPr>
                                <w:rFonts w:ascii="黑体" w:hAnsi="黑体" w:eastAsia="黑体" w:cs="黑体"/>
                              </w:rPr>
                              <w:t>L</w:t>
                            </w:r>
                            <w:r>
                              <w:rPr>
                                <w:rFonts w:hint="eastAsia" w:ascii="黑体" w:hAnsi="黑体" w:eastAsia="黑体" w:cs="黑体"/>
                              </w:rPr>
                              <w:t xml:space="preserve"> </w:t>
                            </w:r>
                            <w:r>
                              <w:rPr>
                                <w:rFonts w:hint="eastAsia" w:ascii="黑体" w:hAnsi="黑体" w:eastAsia="黑体" w:cs="黑体"/>
                                <w:lang w:val="en-US" w:eastAsia="zh-CN"/>
                              </w:rPr>
                              <w:t>80</w:t>
                            </w:r>
                          </w:p>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0.85pt;margin-top:14pt;height:39.25pt;width:79.25pt;mso-position-horizontal-relative:margin;mso-position-vertical-relative:margin;z-index:251660288;mso-width-relative:page;mso-height-relative:page;" fillcolor="#FFFFFF" filled="t" stroked="f" coordsize="21600,21600" o:gfxdata="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RSkNYAAAAIAQAADwAAAAAAAAAB&#10;ACAAAAAiAAAAZHJzL2Rvd25yZXYueG1sUEsBAhQAFAAAAAgAh07iQE8OE7USAgAAOgQAAA4AAAAA&#10;AAAAAQAgAAAAJQEAAGRycy9lMm9Eb2MueG1sUEsFBgAAAAAGAAYAWQEAAKkFAAAAAA==&#10;">
                <v:fill on="t" focussize="0,0"/>
                <v:stroke on="f"/>
                <v:imagedata o:title=""/>
                <o:lock v:ext="edit" aspectratio="f"/>
                <v:textbox inset="0mm,0mm,0mm,0mm">
                  <w:txbxContent>
                    <w:p>
                      <w:pPr>
                        <w:rPr>
                          <w:rFonts w:ascii="黑体" w:hAnsi="黑体" w:eastAsia="黑体" w:cs="黑体"/>
                        </w:rPr>
                      </w:pPr>
                      <w:r>
                        <w:rPr>
                          <w:rFonts w:hint="eastAsia" w:ascii="黑体" w:hAnsi="黑体" w:eastAsia="黑体" w:cs="黑体"/>
                        </w:rPr>
                        <w:t>ICS 35.240</w:t>
                      </w:r>
                    </w:p>
                    <w:p>
                      <w:pPr>
                        <w:rPr>
                          <w:rFonts w:hint="default" w:ascii="黑体" w:hAnsi="黑体" w:eastAsia="黑体" w:cs="黑体"/>
                          <w:szCs w:val="22"/>
                          <w:lang w:val="en-US" w:eastAsia="zh-CN"/>
                        </w:rPr>
                      </w:pPr>
                      <w:r>
                        <w:rPr>
                          <w:rFonts w:hint="eastAsia" w:ascii="黑体" w:hAnsi="黑体" w:eastAsia="黑体" w:cs="黑体"/>
                        </w:rPr>
                        <w:t xml:space="preserve">CCS </w:t>
                      </w:r>
                      <w:r>
                        <w:rPr>
                          <w:rFonts w:ascii="黑体" w:hAnsi="黑体" w:eastAsia="黑体" w:cs="黑体"/>
                        </w:rPr>
                        <w:t>L</w:t>
                      </w:r>
                      <w:r>
                        <w:rPr>
                          <w:rFonts w:hint="eastAsia" w:ascii="黑体" w:hAnsi="黑体" w:eastAsia="黑体" w:cs="黑体"/>
                        </w:rPr>
                        <w:t xml:space="preserve"> </w:t>
                      </w:r>
                      <w:r>
                        <w:rPr>
                          <w:rFonts w:hint="eastAsia" w:ascii="黑体" w:hAnsi="黑体" w:eastAsia="黑体" w:cs="黑体"/>
                          <w:lang w:val="en-US" w:eastAsia="zh-CN"/>
                        </w:rPr>
                        <w:t>80</w:t>
                      </w:r>
                    </w:p>
                    <w:p/>
                  </w:txbxContent>
                </v:textbox>
                <w10:anchorlock/>
              </v:shape>
            </w:pict>
          </mc:Fallback>
        </mc:AlternateContent>
      </w:r>
      <w:r>
        <w:rPr>
          <w:rFonts w:hint="eastAsia" w:ascii="黑体" w:hAnsi="黑体" w:eastAsia="黑体" w:cs="黑体"/>
          <w:kern w:val="0"/>
          <w:sz w:val="20"/>
          <w:szCs w:val="20"/>
          <w:lang w:val="en-US" w:eastAsia="zh-CN"/>
        </w:rPr>
        <w:t>附件4</w:t>
      </w:r>
      <w:bookmarkStart w:id="117" w:name="_GoBack"/>
      <w:bookmarkEnd w:id="117"/>
    </w:p>
    <w:bookmarkEnd w:id="0"/>
    <w:bookmarkEnd w:id="1"/>
    <w:bookmarkEnd w:id="2"/>
    <w:bookmarkEnd w:id="3"/>
    <w:bookmarkEnd w:id="4"/>
    <w:bookmarkEnd w:id="5"/>
    <w:sdt>
      <w:sdtPr>
        <w:rPr>
          <w:rFonts w:ascii="宋体" w:hAnsi="宋体" w:eastAsia="宋体" w:cs="Times New Roman"/>
          <w:kern w:val="2"/>
          <w:sz w:val="21"/>
          <w:szCs w:val="21"/>
          <w:lang w:val="en-US" w:eastAsia="zh-CN" w:bidi="ar-SA"/>
        </w:rPr>
        <w:id w:val="506118189"/>
        <w15:color w:val="DBDBDB"/>
        <w:docPartObj>
          <w:docPartGallery w:val="Table of Contents"/>
          <w:docPartUnique/>
        </w:docPartObj>
      </w:sdtPr>
      <w:sdtEndPr>
        <w:rPr>
          <w:rFonts w:ascii="黑体" w:hAnsi="Calibri" w:eastAsia="黑体" w:cs="Times New Roman"/>
          <w:b/>
          <w:kern w:val="2"/>
          <w:sz w:val="32"/>
          <w:szCs w:val="21"/>
          <w:lang w:val="en-US" w:eastAsia="zh-CN" w:bidi="ar-SA"/>
        </w:rPr>
      </w:sdtEndPr>
      <w:sdtContent>
        <w:p>
          <w:pPr>
            <w:spacing w:before="0" w:beforeLines="0" w:after="0" w:afterLines="0" w:line="240" w:lineRule="auto"/>
            <w:ind w:left="0" w:leftChars="0" w:right="0" w:rightChars="0" w:firstLine="0" w:firstLineChars="0"/>
            <w:jc w:val="center"/>
          </w:pPr>
          <w:bookmarkStart w:id="6" w:name="BookMark1"/>
          <w:bookmarkStart w:id="7" w:name="_Toc130546418"/>
          <w:bookmarkStart w:id="8" w:name="_Toc130482557"/>
          <w:bookmarkStart w:id="9" w:name="_Toc149236361"/>
          <w:r>
            <w:rPr>
              <w:rFonts w:ascii="宋体" w:hAnsi="宋体" w:eastAsia="宋体"/>
              <w:sz w:val="21"/>
            </w:rPr>
            <w:t>目录</w:t>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TOC \o "1-2" \h \u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_Toc177706478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pacing w:val="320"/>
              <w:sz w:val="21"/>
              <w:szCs w:val="21"/>
            </w:rPr>
            <w:t>前</w:t>
          </w:r>
          <w:r>
            <w:rPr>
              <w:rFonts w:hint="eastAsia" w:ascii="宋体" w:hAnsi="宋体" w:eastAsia="宋体" w:cs="宋体"/>
              <w:b w:val="0"/>
              <w:bCs w:val="0"/>
              <w:sz w:val="21"/>
              <w:szCs w:val="21"/>
            </w:rPr>
            <w:t>言</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_Toc177706478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I</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_Toc1710506416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1 </w:t>
          </w:r>
          <w:r>
            <w:rPr>
              <w:rFonts w:hint="eastAsia" w:ascii="宋体" w:hAnsi="宋体" w:eastAsia="宋体" w:cs="宋体"/>
              <w:b w:val="0"/>
              <w:bCs w:val="0"/>
              <w:sz w:val="21"/>
              <w:szCs w:val="21"/>
            </w:rPr>
            <w:t>范围</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_Toc1710506416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_Toc117751323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2 </w:t>
          </w:r>
          <w:r>
            <w:rPr>
              <w:rFonts w:hint="eastAsia" w:ascii="宋体" w:hAnsi="宋体" w:eastAsia="宋体" w:cs="宋体"/>
              <w:b w:val="0"/>
              <w:bCs w:val="0"/>
              <w:sz w:val="21"/>
              <w:szCs w:val="21"/>
            </w:rPr>
            <w:t>规范性引用文件</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_Toc117751323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_Toc1214046774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3 </w:t>
          </w:r>
          <w:r>
            <w:rPr>
              <w:rFonts w:hint="eastAsia" w:ascii="宋体" w:hAnsi="宋体" w:eastAsia="宋体" w:cs="宋体"/>
              <w:b w:val="0"/>
              <w:bCs w:val="0"/>
              <w:sz w:val="21"/>
              <w:szCs w:val="21"/>
            </w:rPr>
            <w:t>术语和定义</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_Toc1214046774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_Toc760867257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4 </w:t>
          </w:r>
          <w:r>
            <w:rPr>
              <w:rFonts w:hint="eastAsia" w:ascii="宋体" w:hAnsi="宋体" w:eastAsia="宋体" w:cs="宋体"/>
              <w:b w:val="0"/>
              <w:bCs w:val="0"/>
              <w:sz w:val="21"/>
              <w:szCs w:val="21"/>
            </w:rPr>
            <w:t>一般要求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_Toc760867257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_Toc1778354161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iCs w:val="0"/>
              <w:caps w:val="0"/>
              <w:smallCaps w:val="0"/>
              <w:strike w:val="0"/>
              <w:dstrike w:val="0"/>
              <w:vanish w:val="0"/>
              <w:spacing w:val="0"/>
              <w:kern w:val="0"/>
              <w:position w:val="0"/>
              <w:sz w:val="21"/>
              <w:szCs w:val="21"/>
              <w:vertAlign w:val="baseline"/>
              <w:lang w:val="de-DE"/>
            </w:rPr>
            <w:t xml:space="preserve">4.1 </w:t>
          </w:r>
          <w:r>
            <w:rPr>
              <w:rFonts w:hint="eastAsia" w:ascii="宋体" w:hAnsi="宋体" w:eastAsia="宋体" w:cs="宋体"/>
              <w:b w:val="0"/>
              <w:bCs w:val="0"/>
              <w:sz w:val="21"/>
              <w:szCs w:val="21"/>
              <w:lang w:val="de-DE"/>
            </w:rPr>
            <w:t>公正性</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_Toc1778354161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_Toc120984981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iCs w:val="0"/>
              <w:caps w:val="0"/>
              <w:smallCaps w:val="0"/>
              <w:strike w:val="0"/>
              <w:dstrike w:val="0"/>
              <w:vanish w:val="0"/>
              <w:spacing w:val="0"/>
              <w:kern w:val="0"/>
              <w:position w:val="0"/>
              <w:sz w:val="21"/>
              <w:szCs w:val="21"/>
              <w:vertAlign w:val="baseline"/>
              <w:lang w:val="de-DE"/>
            </w:rPr>
            <w:t xml:space="preserve">4.2 </w:t>
          </w:r>
          <w:r>
            <w:rPr>
              <w:rFonts w:hint="eastAsia" w:ascii="宋体" w:hAnsi="宋体" w:eastAsia="宋体" w:cs="宋体"/>
              <w:b w:val="0"/>
              <w:bCs w:val="0"/>
              <w:sz w:val="21"/>
              <w:szCs w:val="21"/>
              <w:lang w:val="de-DE"/>
            </w:rPr>
            <w:t>保密性</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_Toc120984981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_Toc1875045605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5 </w:t>
          </w:r>
          <w:r>
            <w:rPr>
              <w:rFonts w:hint="eastAsia" w:ascii="宋体" w:hAnsi="宋体" w:eastAsia="宋体" w:cs="宋体"/>
              <w:b w:val="0"/>
              <w:bCs w:val="0"/>
              <w:sz w:val="21"/>
              <w:szCs w:val="21"/>
            </w:rPr>
            <w:t>组织结构要求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_Toc1875045605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2</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_Toc1716447157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6 </w:t>
          </w:r>
          <w:r>
            <w:rPr>
              <w:rFonts w:hint="eastAsia" w:ascii="宋体" w:hAnsi="宋体" w:eastAsia="宋体" w:cs="宋体"/>
              <w:b w:val="0"/>
              <w:bCs w:val="0"/>
              <w:sz w:val="21"/>
              <w:szCs w:val="21"/>
            </w:rPr>
            <w:t>人员要求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_Toc1716447157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2</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_Toc1179537548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7 </w:t>
          </w:r>
          <w:r>
            <w:rPr>
              <w:rFonts w:hint="eastAsia" w:ascii="宋体" w:hAnsi="宋体" w:eastAsia="宋体" w:cs="宋体"/>
              <w:b w:val="0"/>
              <w:bCs w:val="0"/>
              <w:sz w:val="21"/>
              <w:szCs w:val="21"/>
            </w:rPr>
            <w:t>设施与设备要求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_Toc1179537548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2</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_Toc1066023779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8 </w:t>
          </w:r>
          <w:r>
            <w:rPr>
              <w:rFonts w:hint="eastAsia" w:ascii="宋体" w:hAnsi="宋体" w:eastAsia="宋体" w:cs="宋体"/>
              <w:b w:val="0"/>
              <w:bCs w:val="0"/>
              <w:sz w:val="21"/>
              <w:szCs w:val="21"/>
            </w:rPr>
            <w:t>过程</w:t>
          </w:r>
          <w:r>
            <w:rPr>
              <w:rFonts w:hint="eastAsia" w:ascii="宋体" w:hAnsi="宋体" w:eastAsia="宋体" w:cs="宋体"/>
              <w:b w:val="0"/>
              <w:bCs w:val="0"/>
              <w:sz w:val="21"/>
              <w:szCs w:val="21"/>
              <w:lang w:val="en-US" w:eastAsia="zh-CN"/>
            </w:rPr>
            <w:t>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_Toc1066023779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_Toc205586732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8.1 检测方法和程序</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_Toc205586732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_Toc2142500348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8.2 检测样品的处置</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_Toc2142500348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_Toc2145039587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9 检测记录</w:t>
          </w:r>
          <w:r>
            <w:rPr>
              <w:rFonts w:hint="eastAsia" w:ascii="宋体" w:hAnsi="宋体" w:eastAsia="宋体" w:cs="宋体"/>
              <w:b w:val="0"/>
              <w:bCs w:val="0"/>
              <w:sz w:val="21"/>
              <w:szCs w:val="21"/>
              <w:lang w:val="en-US" w:eastAsia="zh-CN"/>
            </w:rPr>
            <w:t>与报告要求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_Toc2145039587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_Toc1872356520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lang w:val="en-US" w:eastAsia="zh-CN"/>
            </w:rPr>
            <w:t>9.1 检测记录</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_Toc1872356520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_Toc1618152149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9.2 检测报告</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_Toc1618152149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_Toc550262635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lang w:val="en-US" w:eastAsia="zh-CN"/>
            </w:rPr>
            <w:t xml:space="preserve">10 </w:t>
          </w:r>
          <w:r>
            <w:rPr>
              <w:rFonts w:hint="eastAsia" w:ascii="宋体" w:hAnsi="宋体" w:eastAsia="宋体" w:cs="宋体"/>
              <w:b w:val="0"/>
              <w:bCs w:val="0"/>
              <w:sz w:val="21"/>
              <w:szCs w:val="21"/>
            </w:rPr>
            <w:t>管理体系要求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_Toc550262635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_Toc1199522463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pacing w:val="105"/>
              <w:sz w:val="21"/>
              <w:szCs w:val="21"/>
            </w:rPr>
            <w:t>参考文</w:t>
          </w:r>
          <w:r>
            <w:rPr>
              <w:rFonts w:hint="eastAsia" w:ascii="宋体" w:hAnsi="宋体" w:eastAsia="宋体" w:cs="宋体"/>
              <w:b w:val="0"/>
              <w:bCs w:val="0"/>
              <w:sz w:val="21"/>
              <w:szCs w:val="21"/>
            </w:rPr>
            <w:t>献</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_Toc1199522463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96"/>
            <w:keepNext w:val="0"/>
            <w:keepLines w:val="0"/>
            <w:pageBreakBefore w:val="0"/>
            <w:kinsoku/>
            <w:wordWrap/>
            <w:overflowPunct/>
            <w:topLinePunct w:val="0"/>
            <w:bidi w:val="0"/>
            <w:snapToGrid w:val="0"/>
            <w:spacing w:afterLines="0" w:line="360" w:lineRule="auto"/>
            <w:ind w:left="0" w:leftChars="0" w:firstLine="0" w:firstLineChars="0"/>
            <w:jc w:val="left"/>
            <w:textAlignment w:val="auto"/>
            <w:sectPr>
              <w:headerReference r:id="rId8" w:type="default"/>
              <w:footerReference r:id="rId9" w:type="default"/>
              <w:pgSz w:w="11905" w:h="16838"/>
              <w:pgMar w:top="1134" w:right="1134" w:bottom="1134" w:left="1134" w:header="1417" w:footer="1134" w:gutter="283"/>
              <w:pgNumType w:fmt="upperRoman" w:start="1"/>
              <w:cols w:space="0" w:num="1"/>
              <w:formProt w:val="0"/>
              <w:rtlGutter w:val="0"/>
              <w:docGrid w:linePitch="312" w:charSpace="0"/>
            </w:sectPr>
          </w:pPr>
          <w:r>
            <w:rPr>
              <w:rFonts w:hint="eastAsia" w:ascii="宋体" w:hAnsi="宋体" w:eastAsia="宋体" w:cs="宋体"/>
              <w:b w:val="0"/>
              <w:bCs w:val="0"/>
              <w:sz w:val="21"/>
              <w:szCs w:val="21"/>
            </w:rPr>
            <w:fldChar w:fldCharType="end"/>
          </w:r>
        </w:p>
      </w:sdtContent>
    </w:sdt>
    <w:bookmarkEnd w:id="6"/>
    <w:p>
      <w:pPr>
        <w:pStyle w:val="94"/>
        <w:keepNext w:val="0"/>
        <w:keepLines w:val="0"/>
        <w:pageBreakBefore w:val="0"/>
        <w:kinsoku/>
        <w:wordWrap/>
        <w:overflowPunct/>
        <w:topLinePunct w:val="0"/>
        <w:bidi w:val="0"/>
        <w:snapToGrid w:val="0"/>
        <w:spacing w:afterLines="0" w:line="360" w:lineRule="auto"/>
        <w:ind w:left="0" w:leftChars="0" w:firstLine="0" w:firstLineChars="0"/>
        <w:jc w:val="center"/>
        <w:textAlignment w:val="auto"/>
      </w:pPr>
      <w:bookmarkStart w:id="10" w:name="_Toc161994357"/>
      <w:bookmarkStart w:id="11" w:name="_Toc398417319"/>
      <w:bookmarkStart w:id="12" w:name="_Toc751424062"/>
      <w:bookmarkStart w:id="13" w:name="_Toc177706478"/>
      <w:r>
        <w:rPr>
          <w:spacing w:val="320"/>
        </w:rPr>
        <w:t>前</w:t>
      </w:r>
      <w:r>
        <w:t>言</w:t>
      </w:r>
      <w:bookmarkEnd w:id="7"/>
      <w:bookmarkEnd w:id="8"/>
      <w:bookmarkEnd w:id="9"/>
      <w:bookmarkEnd w:id="10"/>
      <w:bookmarkEnd w:id="11"/>
      <w:bookmarkEnd w:id="12"/>
      <w:bookmarkEnd w:id="13"/>
      <w:bookmarkStart w:id="14" w:name="BookMark2"/>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本文件按照GB/T 1.1—2020《标准化工作导则  第1部分：标准化文件的结构和起草规则》的规定起草。</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请注意本文件的某些内容可能涉及专利。本文件的发布机构不承担识别这些专利的责任。</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本文件由中国出入境检验检疫协会网络安全标准化技术委员会（CIQA/TC16）提出并归口。</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本文件起草单位：北京时代新威信息技术有限公司、北京爱思考科技有限公司、北京数易轩科技有限公司、</w:t>
      </w:r>
      <w:r>
        <w:rPr>
          <w:rFonts w:hint="eastAsia" w:hAnsi="宋体"/>
        </w:rPr>
        <w:t>… …。</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本文件主要起草人：…</w:t>
      </w:r>
      <w:r>
        <w:t xml:space="preserve"> </w:t>
      </w:r>
      <w:r>
        <w:rPr>
          <w:rFonts w:hint="eastAsia"/>
        </w:rPr>
        <w:t>…。</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本文件知识产权归中国出入境检验检疫协会所有。任何单位或个人未经许可，不得以营利为目的，印制、出版、翻译、转发或复制全文或部分文字。</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本文件是首次发布。</w:t>
      </w:r>
    </w:p>
    <w:p>
      <w:pPr>
        <w:pStyle w:val="182"/>
        <w:keepNext w:val="0"/>
        <w:keepLines w:val="0"/>
        <w:pageBreakBefore w:val="0"/>
        <w:kinsoku/>
        <w:wordWrap/>
        <w:overflowPunct/>
        <w:topLinePunct w:val="0"/>
        <w:bidi w:val="0"/>
        <w:snapToGrid w:val="0"/>
        <w:spacing w:beforeLines="0" w:after="0" w:line="360" w:lineRule="auto"/>
        <w:ind w:left="0" w:leftChars="0" w:firstLine="0" w:firstLineChars="0"/>
        <w:jc w:val="center"/>
        <w:textAlignment w:val="auto"/>
        <w:sectPr>
          <w:footerReference r:id="rId10" w:type="default"/>
          <w:pgSz w:w="11905" w:h="16838"/>
          <w:pgMar w:top="1134" w:right="1134" w:bottom="1134" w:left="1134" w:header="1417" w:footer="1134" w:gutter="283"/>
          <w:pgNumType w:fmt="upperRoman" w:start="1"/>
          <w:cols w:space="0" w:num="1"/>
          <w:formProt w:val="0"/>
          <w:rtlGutter w:val="0"/>
          <w:docGrid w:linePitch="312" w:charSpace="0"/>
        </w:sectPr>
      </w:pPr>
      <w:r>
        <w:drawing>
          <wp:anchor distT="0" distB="0" distL="114300" distR="114300" simplePos="0" relativeHeight="251669504" behindDoc="0" locked="0" layoutInCell="1" allowOverlap="1">
            <wp:simplePos x="0" y="0"/>
            <wp:positionH relativeFrom="column">
              <wp:posOffset>69215</wp:posOffset>
            </wp:positionH>
            <wp:positionV relativeFrom="paragraph">
              <wp:posOffset>6042025</wp:posOffset>
            </wp:positionV>
            <wp:extent cx="200025" cy="257175"/>
            <wp:effectExtent l="0" t="0" r="9525" b="952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anchor>
        </w:drawing>
      </w:r>
      <w:bookmarkEnd w:id="14"/>
      <w:bookmarkStart w:id="15" w:name="BookMark4"/>
    </w:p>
    <w:p>
      <w:pPr>
        <w:pStyle w:val="182"/>
        <w:keepNext w:val="0"/>
        <w:keepLines w:val="0"/>
        <w:pageBreakBefore w:val="0"/>
        <w:kinsoku/>
        <w:wordWrap/>
        <w:overflowPunct/>
        <w:topLinePunct w:val="0"/>
        <w:bidi w:val="0"/>
        <w:snapToGrid w:val="0"/>
        <w:spacing w:beforeLines="0" w:after="0" w:line="360" w:lineRule="auto"/>
        <w:ind w:left="0" w:leftChars="0" w:firstLine="0" w:firstLineChars="0"/>
        <w:jc w:val="center"/>
        <w:textAlignment w:val="auto"/>
      </w:pPr>
      <w:sdt>
        <w:sdtPr>
          <w:tag w:val="NEW_STAND_NAME"/>
          <w:id w:val="595910757"/>
          <w:lock w:val="sdtLocked"/>
          <w:placeholder>
            <w:docPart w:val="2083BD161E894264879851B21FBEAB63"/>
          </w:placeholder>
        </w:sdtPr>
        <w:sdtContent>
          <w:bookmarkStart w:id="16" w:name="NEW_STAND_NAME"/>
          <w:bookmarkEnd w:id="16"/>
          <w:r>
            <w:rPr>
              <w:rFonts w:hint="eastAsia"/>
            </w:rPr>
            <w:t>数字产品数据安全和隐私保护</w:t>
          </w:r>
          <w:r>
            <w:rPr>
              <w:rFonts w:hint="eastAsia"/>
              <w:lang w:val="en-US" w:eastAsia="zh-CN"/>
            </w:rPr>
            <w:t>检验</w:t>
          </w:r>
          <w:r>
            <w:rPr>
              <w:rFonts w:hint="eastAsia"/>
            </w:rPr>
            <w:t>检测</w:t>
          </w:r>
          <w:r>
            <w:rPr>
              <w:rFonts w:hint="eastAsia"/>
              <w:lang w:val="en-US" w:eastAsia="zh-CN"/>
            </w:rPr>
            <w:t>机构</w:t>
          </w:r>
          <w:r>
            <w:rPr>
              <w:rFonts w:hint="eastAsia"/>
            </w:rPr>
            <w:t>能力要求</w:t>
          </w:r>
        </w:sdtContent>
      </w:sdt>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17" w:name="_Toc1710506416"/>
      <w:bookmarkStart w:id="18" w:name="_Toc345869087"/>
      <w:bookmarkStart w:id="19" w:name="_Toc130546420"/>
      <w:bookmarkStart w:id="20" w:name="_Toc100233915"/>
      <w:bookmarkStart w:id="21" w:name="_Toc26648465"/>
      <w:bookmarkStart w:id="22" w:name="_Toc26986530"/>
      <w:bookmarkStart w:id="23" w:name="_Toc2145069839"/>
      <w:bookmarkStart w:id="24" w:name="_Toc17233325"/>
      <w:bookmarkStart w:id="25" w:name="_Toc130482559"/>
      <w:bookmarkStart w:id="26" w:name="_Toc24884218"/>
      <w:bookmarkStart w:id="27" w:name="_Toc26718930"/>
      <w:bookmarkStart w:id="28" w:name="_Toc149236363"/>
      <w:bookmarkStart w:id="29" w:name="_Toc26986771"/>
      <w:bookmarkStart w:id="30" w:name="_Toc17233333"/>
      <w:bookmarkStart w:id="31" w:name="_Toc24884211"/>
      <w:bookmarkStart w:id="32" w:name="_Toc161994359"/>
      <w:bookmarkStart w:id="33" w:name="_Toc1980365674"/>
      <w:bookmarkStart w:id="34" w:name="_Toc130373677"/>
      <w:r>
        <w:rPr>
          <w:rFonts w:hint="eastAsia"/>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bookmarkStart w:id="35" w:name="_Toc26648466"/>
      <w:bookmarkStart w:id="36" w:name="_Toc17233326"/>
      <w:bookmarkStart w:id="37" w:name="_Toc24884212"/>
      <w:bookmarkStart w:id="38" w:name="_Toc24884219"/>
      <w:bookmarkStart w:id="39" w:name="_Toc17233334"/>
      <w:r>
        <w:rPr>
          <w:rFonts w:hint="eastAsia"/>
        </w:rPr>
        <w:t>本文件规定了对数字产品数据安全和隐私保护</w:t>
      </w:r>
      <w:r>
        <w:rPr>
          <w:rFonts w:hint="eastAsia"/>
          <w:lang w:eastAsia="zh-CN"/>
        </w:rPr>
        <w:t>检验检测机构</w:t>
      </w:r>
      <w:r>
        <w:rPr>
          <w:rFonts w:hint="eastAsia"/>
        </w:rPr>
        <w:t>的能力以及从事检测活动的公正性和一致性的要求。</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r>
        <w:rPr>
          <w:rFonts w:hint="eastAsia"/>
        </w:rPr>
        <w:t>本文件适用于数字产品数据安全和隐私保护</w:t>
      </w:r>
      <w:r>
        <w:rPr>
          <w:rFonts w:hint="eastAsia"/>
          <w:lang w:eastAsia="zh-CN"/>
        </w:rPr>
        <w:t>检验检测机构</w:t>
      </w:r>
      <w:r>
        <w:rPr>
          <w:rFonts w:hint="eastAsia"/>
        </w:rPr>
        <w:t>能力建设、合格评定等活动。</w:t>
      </w: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40" w:name="_Toc156838065"/>
      <w:bookmarkStart w:id="41" w:name="_Toc26718931"/>
      <w:bookmarkStart w:id="42" w:name="_Toc1930996427"/>
      <w:bookmarkStart w:id="43" w:name="_Toc117751323"/>
      <w:bookmarkStart w:id="44" w:name="_Toc233318237"/>
      <w:bookmarkStart w:id="45" w:name="_Toc149236364"/>
      <w:bookmarkStart w:id="46" w:name="_Toc130373678"/>
      <w:bookmarkStart w:id="47" w:name="_Toc130546421"/>
      <w:bookmarkStart w:id="48" w:name="_Toc26986772"/>
      <w:bookmarkStart w:id="49" w:name="_Toc100233916"/>
      <w:bookmarkStart w:id="50" w:name="_Toc130482560"/>
      <w:bookmarkStart w:id="51" w:name="_Toc26986531"/>
      <w:bookmarkStart w:id="52" w:name="_Toc161994360"/>
      <w:r>
        <w:rPr>
          <w:rFonts w:hint="eastAsia"/>
        </w:rPr>
        <w:t>规范性引用文件</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szCs w:val="22"/>
        </w:rPr>
      </w:pPr>
      <w:r>
        <w:rPr>
          <w:rFonts w:hint="eastAsia"/>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rFonts w:ascii="Times New Roman"/>
          <w:szCs w:val="22"/>
        </w:rPr>
      </w:pPr>
      <w:r>
        <w:rPr>
          <w:rFonts w:ascii="Times New Roman"/>
          <w:szCs w:val="22"/>
        </w:rPr>
        <w:t>GB/T 27000 合格评定 词汇和通用原则（ISO/IEC 17000，IDT）</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rFonts w:ascii="Times New Roman"/>
          <w:szCs w:val="22"/>
        </w:rPr>
      </w:pPr>
      <w:r>
        <w:rPr>
          <w:rFonts w:hint="eastAsia" w:ascii="Times New Roman"/>
          <w:szCs w:val="22"/>
        </w:rPr>
        <w:t>CNAS-CL01</w:t>
      </w:r>
      <w:r>
        <w:rPr>
          <w:rFonts w:ascii="Times New Roman"/>
          <w:szCs w:val="22"/>
        </w:rPr>
        <w:t xml:space="preserve"> </w:t>
      </w:r>
      <w:r>
        <w:rPr>
          <w:rFonts w:hint="eastAsia" w:ascii="Times New Roman"/>
          <w:szCs w:val="22"/>
        </w:rPr>
        <w:t>检测和校准</w:t>
      </w:r>
      <w:r>
        <w:rPr>
          <w:rFonts w:hint="eastAsia" w:ascii="Times New Roman"/>
          <w:szCs w:val="22"/>
          <w:lang w:eastAsia="zh-CN"/>
        </w:rPr>
        <w:t>检验检测机构</w:t>
      </w:r>
      <w:r>
        <w:rPr>
          <w:rFonts w:hint="eastAsia" w:ascii="Times New Roman"/>
          <w:szCs w:val="22"/>
        </w:rPr>
        <w:t>能力认可准则（ISO/IEC 17025）</w:t>
      </w: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53" w:name="_Toc1014923586"/>
      <w:bookmarkStart w:id="54" w:name="_Toc130546422"/>
      <w:bookmarkStart w:id="55" w:name="_Toc1214046774"/>
      <w:bookmarkStart w:id="56" w:name="_Toc100233917"/>
      <w:bookmarkStart w:id="57" w:name="_Toc161994361"/>
      <w:bookmarkStart w:id="58" w:name="_Toc130373679"/>
      <w:bookmarkStart w:id="59" w:name="_Toc74469837"/>
      <w:bookmarkStart w:id="60" w:name="_Toc130482561"/>
      <w:bookmarkStart w:id="61" w:name="_Toc149236365"/>
      <w:bookmarkStart w:id="62" w:name="_Toc1484075125"/>
      <w:r>
        <w:rPr>
          <w:rFonts w:hint="eastAsia"/>
          <w:szCs w:val="21"/>
        </w:rPr>
        <w:t>术语和定义</w:t>
      </w:r>
      <w:bookmarkEnd w:id="53"/>
      <w:bookmarkEnd w:id="54"/>
      <w:bookmarkEnd w:id="55"/>
      <w:bookmarkEnd w:id="56"/>
      <w:bookmarkEnd w:id="57"/>
      <w:bookmarkEnd w:id="58"/>
      <w:bookmarkEnd w:id="59"/>
      <w:bookmarkEnd w:id="60"/>
      <w:bookmarkEnd w:id="61"/>
      <w:bookmarkEnd w:id="62"/>
    </w:p>
    <w:sdt>
      <w:sdtPr>
        <w:rPr>
          <w:rFonts w:hint="eastAsia"/>
        </w:rPr>
        <w:id w:val="1880822977"/>
        <w:placeholder>
          <w:docPart w:val="689C064C96FF4F5EA342E6BD453344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bookmarkStart w:id="63" w:name="_Toc26986532"/>
          <w:bookmarkEnd w:id="63"/>
          <w:r>
            <w:t>GB/T 27000</w:t>
          </w:r>
          <w:r>
            <w:rPr>
              <w:rFonts w:hint="eastAsia"/>
            </w:rPr>
            <w:t>界定的以及下列术语和定义适用于本文件。</w:t>
          </w:r>
        </w:p>
      </w:sdtContent>
    </w:sdt>
    <w:p>
      <w:pPr>
        <w:pStyle w:val="228"/>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rPr>
          <w:rFonts w:ascii="黑体" w:hAnsi="黑体" w:eastAsia="黑体"/>
          <w:lang w:val="de-DE"/>
        </w:rPr>
      </w:pPr>
    </w:p>
    <w:p>
      <w:pPr>
        <w:pStyle w:val="228"/>
        <w:keepNext w:val="0"/>
        <w:keepLines w:val="0"/>
        <w:pageBreakBefore w:val="0"/>
        <w:numPr>
          <w:ilvl w:val="2"/>
          <w:numId w:val="0"/>
        </w:numPr>
        <w:kinsoku/>
        <w:wordWrap/>
        <w:overflowPunct/>
        <w:topLinePunct w:val="0"/>
        <w:bidi w:val="0"/>
        <w:snapToGrid w:val="0"/>
        <w:spacing w:beforeLines="0" w:afterLines="0" w:line="360" w:lineRule="auto"/>
        <w:ind w:left="0" w:leftChars="0" w:firstLine="0" w:firstLineChars="0"/>
        <w:jc w:val="left"/>
        <w:textAlignment w:val="auto"/>
        <w:outlineLvl w:val="1"/>
        <w:rPr>
          <w:rFonts w:ascii="黑体" w:hAnsi="黑体" w:eastAsia="黑体"/>
          <w:lang w:val="de-DE"/>
        </w:rPr>
      </w:pPr>
      <w:bookmarkStart w:id="64" w:name="_Toc1242000471"/>
      <w:bookmarkStart w:id="65" w:name="_Toc1975549617"/>
      <w:r>
        <w:rPr>
          <w:rFonts w:hint="eastAsia" w:ascii="黑体" w:hAnsi="黑体" w:eastAsia="黑体"/>
          <w:lang w:val="de-DE"/>
        </w:rPr>
        <w:t>数字产品　</w:t>
      </w:r>
      <w:r>
        <w:rPr>
          <w:rFonts w:ascii="黑体" w:hAnsi="黑体" w:eastAsia="黑体"/>
          <w:lang w:val="de-DE"/>
        </w:rPr>
        <w:t>digital products</w:t>
      </w:r>
      <w:bookmarkEnd w:id="64"/>
      <w:bookmarkEnd w:id="65"/>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szCs w:val="22"/>
        </w:rPr>
      </w:pPr>
      <w:r>
        <w:rPr>
          <w:rFonts w:hint="eastAsia"/>
          <w:szCs w:val="22"/>
        </w:rPr>
        <w:t>消费者日常生活、工作中使用的智能化、可联网的数字终端设备。主要包括：</w:t>
      </w:r>
      <w:r>
        <w:rPr>
          <w:rFonts w:hint="eastAsia"/>
          <w:szCs w:val="22"/>
          <w:lang w:val="en-US" w:eastAsia="zh-CN"/>
        </w:rPr>
        <w:t>智能办公产品</w:t>
      </w:r>
      <w:r>
        <w:rPr>
          <w:rFonts w:hint="eastAsia"/>
          <w:szCs w:val="22"/>
        </w:rPr>
        <w:t>、智能娱乐产品、智能健康产品、智能穿戴产品</w:t>
      </w:r>
      <w:r>
        <w:rPr>
          <w:rFonts w:hint="eastAsia"/>
          <w:szCs w:val="22"/>
          <w:lang w:eastAsia="zh-CN"/>
        </w:rPr>
        <w:t>、</w:t>
      </w:r>
      <w:r>
        <w:rPr>
          <w:rFonts w:hint="eastAsia"/>
          <w:szCs w:val="22"/>
          <w:lang w:val="en-US" w:eastAsia="zh-CN"/>
        </w:rPr>
        <w:t>智能车联网产品、</w:t>
      </w:r>
      <w:r>
        <w:rPr>
          <w:rFonts w:hint="eastAsia"/>
          <w:szCs w:val="22"/>
        </w:rPr>
        <w:t>智能监控设备</w:t>
      </w:r>
      <w:r>
        <w:rPr>
          <w:rFonts w:hint="eastAsia"/>
          <w:szCs w:val="22"/>
          <w:lang w:eastAsia="zh-CN"/>
        </w:rPr>
        <w:t>、</w:t>
      </w:r>
      <w:r>
        <w:rPr>
          <w:rFonts w:hint="eastAsia"/>
          <w:szCs w:val="22"/>
          <w:lang w:val="en-US" w:eastAsia="zh-CN"/>
        </w:rPr>
        <w:t>智能无人机、智能机器人等。</w:t>
      </w:r>
    </w:p>
    <w:p>
      <w:pPr>
        <w:pStyle w:val="228"/>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rPr>
          <w:rFonts w:ascii="黑体" w:hAnsi="黑体" w:eastAsia="黑体"/>
          <w:lang w:val="de-DE"/>
        </w:rPr>
      </w:pPr>
    </w:p>
    <w:p>
      <w:pPr>
        <w:pStyle w:val="228"/>
        <w:keepNext w:val="0"/>
        <w:keepLines w:val="0"/>
        <w:pageBreakBefore w:val="0"/>
        <w:numPr>
          <w:ilvl w:val="0"/>
          <w:numId w:val="0"/>
        </w:numPr>
        <w:kinsoku/>
        <w:wordWrap/>
        <w:overflowPunct/>
        <w:topLinePunct w:val="0"/>
        <w:bidi w:val="0"/>
        <w:snapToGrid w:val="0"/>
        <w:spacing w:beforeLines="0" w:afterLines="0" w:line="360" w:lineRule="auto"/>
        <w:ind w:left="0" w:leftChars="0" w:firstLine="0" w:firstLineChars="0"/>
        <w:jc w:val="left"/>
        <w:textAlignment w:val="auto"/>
        <w:rPr>
          <w:rFonts w:ascii="黑体" w:hAnsi="黑体" w:eastAsia="黑体"/>
          <w:lang w:val="de-DE"/>
        </w:rPr>
      </w:pPr>
      <w:r>
        <w:rPr>
          <w:rFonts w:hint="eastAsia" w:ascii="黑体" w:hAnsi="黑体" w:eastAsia="黑体"/>
          <w:lang w:val="de-DE"/>
        </w:rPr>
        <w:t>隐私privacy</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rFonts w:ascii="Times New Roman"/>
          <w:lang w:val="de-DE"/>
        </w:rPr>
      </w:pPr>
      <w:r>
        <w:rPr>
          <w:rFonts w:hint="eastAsia" w:ascii="Times New Roman"/>
          <w:lang w:val="de-DE"/>
        </w:rPr>
        <w:t>隐私是自然人的私人生活安宁和不愿为他人知晓的私密空间、私密活动、私密信息。</w:t>
      </w:r>
    </w:p>
    <w:p>
      <w:pPr>
        <w:pStyle w:val="228"/>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rPr>
          <w:rFonts w:ascii="黑体" w:hAnsi="黑体" w:eastAsia="黑体"/>
          <w:lang w:val="de-DE"/>
        </w:rPr>
      </w:pPr>
    </w:p>
    <w:p>
      <w:pPr>
        <w:pStyle w:val="228"/>
        <w:keepNext w:val="0"/>
        <w:keepLines w:val="0"/>
        <w:pageBreakBefore w:val="0"/>
        <w:numPr>
          <w:ilvl w:val="0"/>
          <w:numId w:val="0"/>
        </w:numPr>
        <w:kinsoku/>
        <w:wordWrap/>
        <w:overflowPunct/>
        <w:topLinePunct w:val="0"/>
        <w:bidi w:val="0"/>
        <w:snapToGrid w:val="0"/>
        <w:spacing w:beforeLines="0" w:afterLines="0" w:line="360" w:lineRule="auto"/>
        <w:ind w:left="0" w:leftChars="0" w:firstLine="0" w:firstLineChars="0"/>
        <w:jc w:val="left"/>
        <w:textAlignment w:val="auto"/>
        <w:rPr>
          <w:rFonts w:hint="default" w:ascii="黑体" w:hAnsi="黑体" w:eastAsia="黑体"/>
          <w:lang w:val="en-US" w:eastAsia="zh-CN"/>
        </w:rPr>
      </w:pPr>
      <w:r>
        <w:rPr>
          <w:rFonts w:hint="eastAsia" w:ascii="黑体" w:hAnsi="黑体" w:eastAsia="黑体"/>
          <w:lang w:val="en-US" w:eastAsia="zh-CN"/>
        </w:rPr>
        <w:t>检验检测机构</w:t>
      </w:r>
      <w:r>
        <w:rPr>
          <w:rFonts w:hint="eastAsia" w:ascii="黑体" w:hAnsi="黑体" w:eastAsia="黑体"/>
          <w:lang w:val="de-DE"/>
        </w:rPr>
        <w:t xml:space="preserve"> inspection and testing</w:t>
      </w:r>
      <w:r>
        <w:rPr>
          <w:rFonts w:hint="eastAsia" w:ascii="黑体" w:hAnsi="黑体" w:eastAsia="黑体"/>
          <w:lang w:val="en-US" w:eastAsia="zh-CN"/>
        </w:rPr>
        <w:t xml:space="preserve"> organization</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lang w:val="de-DE"/>
        </w:rPr>
      </w:pPr>
      <w:r>
        <w:rPr>
          <w:rFonts w:hint="eastAsia"/>
          <w:lang w:val="en-US" w:eastAsia="zh-CN"/>
        </w:rPr>
        <w:t>具备</w:t>
      </w:r>
      <w:r>
        <w:rPr>
          <w:rFonts w:hint="eastAsia"/>
          <w:lang w:val="de-DE"/>
        </w:rPr>
        <w:t>数字产品数据安全和隐私保护检测</w:t>
      </w:r>
      <w:r>
        <w:rPr>
          <w:rFonts w:hint="eastAsia"/>
          <w:lang w:val="en-US" w:eastAsia="zh-CN"/>
        </w:rPr>
        <w:t>能力的组织</w:t>
      </w:r>
      <w:r>
        <w:rPr>
          <w:rFonts w:hint="eastAsia"/>
          <w:lang w:val="de-DE"/>
        </w:rPr>
        <w:t>。</w:t>
      </w: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66" w:name="_Hlk130827323"/>
      <w:bookmarkStart w:id="67" w:name="_Toc358101781"/>
      <w:bookmarkStart w:id="68" w:name="_Toc149210130"/>
      <w:bookmarkStart w:id="69" w:name="_Toc130828148"/>
      <w:bookmarkStart w:id="70" w:name="_Hlk130891426"/>
      <w:bookmarkStart w:id="71" w:name="_Toc760867257"/>
      <w:bookmarkStart w:id="72" w:name="_Toc161994362"/>
      <w:bookmarkStart w:id="73" w:name="_Toc149210084"/>
      <w:bookmarkStart w:id="74" w:name="_Toc817746652"/>
      <w:bookmarkStart w:id="75" w:name="_Toc130977585"/>
      <w:bookmarkStart w:id="76" w:name="_Toc130917917"/>
      <w:r>
        <w:rPr>
          <w:rFonts w:hint="eastAsia"/>
        </w:rPr>
        <w:t>一般要求</w:t>
      </w:r>
      <w:bookmarkEnd w:id="66"/>
      <w:bookmarkEnd w:id="67"/>
      <w:bookmarkEnd w:id="68"/>
      <w:bookmarkEnd w:id="69"/>
      <w:bookmarkEnd w:id="70"/>
      <w:bookmarkEnd w:id="71"/>
      <w:bookmarkEnd w:id="72"/>
      <w:bookmarkEnd w:id="73"/>
      <w:bookmarkEnd w:id="74"/>
      <w:bookmarkEnd w:id="75"/>
      <w:bookmarkEnd w:id="76"/>
    </w:p>
    <w:p>
      <w:pPr>
        <w:pStyle w:val="228"/>
        <w:keepNext w:val="0"/>
        <w:keepLines w:val="0"/>
        <w:pageBreakBefore w:val="0"/>
        <w:kinsoku/>
        <w:wordWrap/>
        <w:overflowPunct/>
        <w:topLinePunct w:val="0"/>
        <w:bidi w:val="0"/>
        <w:snapToGrid w:val="0"/>
        <w:spacing w:beforeLines="0" w:afterLines="0" w:line="360" w:lineRule="auto"/>
        <w:ind w:left="-199" w:leftChars="-95" w:firstLine="199" w:firstLineChars="95"/>
        <w:jc w:val="left"/>
        <w:textAlignment w:val="auto"/>
        <w:outlineLvl w:val="1"/>
        <w:rPr>
          <w:rFonts w:ascii="黑体" w:hAnsi="黑体" w:eastAsia="黑体"/>
          <w:lang w:val="de-DE"/>
        </w:rPr>
      </w:pPr>
      <w:bookmarkStart w:id="77" w:name="_Toc1778354161"/>
      <w:bookmarkStart w:id="78" w:name="_Toc2120123011"/>
      <w:r>
        <w:rPr>
          <w:rFonts w:hint="eastAsia" w:ascii="黑体" w:hAnsi="黑体" w:eastAsia="黑体"/>
          <w:lang w:val="de-DE"/>
        </w:rPr>
        <w:t>公正性</w:t>
      </w:r>
      <w:bookmarkEnd w:id="77"/>
      <w:bookmarkEnd w:id="78"/>
    </w:p>
    <w:p>
      <w:pPr>
        <w:pStyle w:val="61"/>
        <w:keepNext w:val="0"/>
        <w:keepLines w:val="0"/>
        <w:pageBreakBefore w:val="0"/>
        <w:numPr>
          <w:ilvl w:val="2"/>
          <w:numId w:val="33"/>
        </w:numPr>
        <w:kinsoku/>
        <w:wordWrap/>
        <w:overflowPunct/>
        <w:topLinePunct w:val="0"/>
        <w:bidi w:val="0"/>
        <w:snapToGrid w:val="0"/>
        <w:spacing w:line="360" w:lineRule="auto"/>
        <w:ind w:left="0" w:leftChars="0" w:firstLine="0" w:firstLineChars="0"/>
        <w:jc w:val="left"/>
        <w:textAlignment w:val="auto"/>
        <w:outlineLvl w:val="9"/>
        <w:rPr>
          <w:lang w:val="de-DE"/>
        </w:rPr>
      </w:pPr>
      <w:r>
        <w:rPr>
          <w:rFonts w:hint="eastAsia"/>
          <w:lang w:val="de-DE" w:eastAsia="zh-CN"/>
        </w:rPr>
        <w:t>检验检测机构</w:t>
      </w:r>
      <w:r>
        <w:rPr>
          <w:rFonts w:hint="eastAsia"/>
          <w:lang w:val="de-DE"/>
        </w:rPr>
        <w:t>应公正地实施检测活动，并从组织结构和管理上保证公正性。</w:t>
      </w:r>
    </w:p>
    <w:p>
      <w:pPr>
        <w:pStyle w:val="61"/>
        <w:keepNext w:val="0"/>
        <w:keepLines w:val="0"/>
        <w:pageBreakBefore w:val="0"/>
        <w:numPr>
          <w:ilvl w:val="2"/>
          <w:numId w:val="33"/>
        </w:numPr>
        <w:kinsoku/>
        <w:wordWrap/>
        <w:overflowPunct/>
        <w:topLinePunct w:val="0"/>
        <w:bidi w:val="0"/>
        <w:snapToGrid w:val="0"/>
        <w:spacing w:line="360" w:lineRule="auto"/>
        <w:ind w:left="0" w:leftChars="0" w:firstLine="0" w:firstLineChars="0"/>
        <w:jc w:val="left"/>
        <w:textAlignment w:val="auto"/>
        <w:outlineLvl w:val="9"/>
        <w:rPr>
          <w:lang w:val="de-DE"/>
        </w:rPr>
      </w:pPr>
      <w:r>
        <w:rPr>
          <w:rFonts w:hint="eastAsia"/>
          <w:lang w:val="de-DE" w:eastAsia="zh-CN"/>
        </w:rPr>
        <w:t>检验检测机构</w:t>
      </w:r>
      <w:r>
        <w:rPr>
          <w:rFonts w:hint="eastAsia"/>
          <w:lang w:val="de-DE"/>
        </w:rPr>
        <w:t>应对检测活动的公正性负责，坚决抵制商业、财务或任何其他形式的外部压力，以确保检测结果的客观性和准确性。</w:t>
      </w:r>
    </w:p>
    <w:p>
      <w:pPr>
        <w:pStyle w:val="61"/>
        <w:keepNext w:val="0"/>
        <w:keepLines w:val="0"/>
        <w:pageBreakBefore w:val="0"/>
        <w:numPr>
          <w:ilvl w:val="2"/>
          <w:numId w:val="33"/>
        </w:numPr>
        <w:kinsoku/>
        <w:wordWrap/>
        <w:overflowPunct/>
        <w:topLinePunct w:val="0"/>
        <w:bidi w:val="0"/>
        <w:snapToGrid w:val="0"/>
        <w:spacing w:line="360" w:lineRule="auto"/>
        <w:ind w:left="0" w:leftChars="0" w:firstLine="0" w:firstLineChars="0"/>
        <w:jc w:val="left"/>
        <w:textAlignment w:val="auto"/>
        <w:outlineLvl w:val="9"/>
        <w:rPr>
          <w:lang w:val="de-DE"/>
        </w:rPr>
      </w:pPr>
      <w:r>
        <w:rPr>
          <w:rFonts w:hint="eastAsia"/>
          <w:lang w:val="de-DE" w:eastAsia="zh-CN"/>
        </w:rPr>
        <w:t>检验检测机构</w:t>
      </w:r>
      <w:r>
        <w:rPr>
          <w:rFonts w:hint="eastAsia"/>
          <w:lang w:val="de-DE"/>
        </w:rPr>
        <w:t>应持续监控并识别可能影响公正性的潜在风险。一旦发现此类风险，应立即采取措施消除或将其降至最低，并保留相应证据以证明所采取措施的有效性。</w:t>
      </w:r>
    </w:p>
    <w:p>
      <w:pPr>
        <w:pStyle w:val="228"/>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outlineLvl w:val="1"/>
        <w:rPr>
          <w:rFonts w:ascii="黑体" w:hAnsi="黑体" w:eastAsia="黑体"/>
          <w:lang w:val="de-DE"/>
        </w:rPr>
      </w:pPr>
      <w:bookmarkStart w:id="79" w:name="_Toc120984981"/>
      <w:bookmarkStart w:id="80" w:name="_Toc1858774853"/>
      <w:r>
        <w:rPr>
          <w:rFonts w:hint="eastAsia" w:ascii="黑体" w:hAnsi="黑体" w:eastAsia="黑体"/>
          <w:lang w:val="de-DE"/>
        </w:rPr>
        <w:t>保密性</w:t>
      </w:r>
      <w:bookmarkEnd w:id="79"/>
      <w:bookmarkEnd w:id="80"/>
    </w:p>
    <w:p>
      <w:pPr>
        <w:pStyle w:val="61"/>
        <w:keepNext w:val="0"/>
        <w:keepLines w:val="0"/>
        <w:pageBreakBefore w:val="0"/>
        <w:numPr>
          <w:ilvl w:val="2"/>
          <w:numId w:val="34"/>
        </w:numPr>
        <w:kinsoku/>
        <w:wordWrap/>
        <w:overflowPunct/>
        <w:topLinePunct w:val="0"/>
        <w:bidi w:val="0"/>
        <w:snapToGrid w:val="0"/>
        <w:spacing w:line="360" w:lineRule="auto"/>
        <w:ind w:left="0" w:leftChars="0" w:firstLine="0" w:firstLineChars="0"/>
        <w:jc w:val="left"/>
        <w:textAlignment w:val="auto"/>
        <w:rPr>
          <w:lang w:val="de-DE"/>
        </w:rPr>
      </w:pPr>
      <w:r>
        <w:rPr>
          <w:rFonts w:hint="eastAsia"/>
          <w:lang w:val="de-DE" w:eastAsia="zh-CN"/>
        </w:rPr>
        <w:t>检验检测机构</w:t>
      </w:r>
      <w:r>
        <w:rPr>
          <w:rFonts w:hint="eastAsia"/>
          <w:lang w:val="de-DE"/>
        </w:rPr>
        <w:t>对在检测过程中获取或产生的所有信息负有严格的管理责任。除非客户已公开或双方另有协议，否则所有信息均应被视为机密，予以严格保密</w:t>
      </w:r>
      <w:r>
        <w:rPr>
          <w:rFonts w:hint="eastAsia"/>
          <w:lang w:val="de-DE" w:eastAsia="zh-CN"/>
        </w:rPr>
        <w:t>。</w:t>
      </w:r>
    </w:p>
    <w:p>
      <w:pPr>
        <w:pStyle w:val="61"/>
        <w:keepNext w:val="0"/>
        <w:keepLines w:val="0"/>
        <w:pageBreakBefore w:val="0"/>
        <w:numPr>
          <w:ilvl w:val="2"/>
          <w:numId w:val="34"/>
        </w:numPr>
        <w:kinsoku/>
        <w:wordWrap/>
        <w:overflowPunct/>
        <w:topLinePunct w:val="0"/>
        <w:bidi w:val="0"/>
        <w:snapToGrid w:val="0"/>
        <w:spacing w:line="360" w:lineRule="auto"/>
        <w:ind w:left="0" w:leftChars="0" w:firstLine="0" w:firstLineChars="0"/>
        <w:jc w:val="left"/>
        <w:textAlignment w:val="auto"/>
        <w:rPr>
          <w:lang w:val="de-DE"/>
        </w:rPr>
      </w:pPr>
      <w:r>
        <w:rPr>
          <w:rFonts w:hint="eastAsia"/>
          <w:lang w:val="de-DE" w:eastAsia="zh-CN"/>
        </w:rPr>
        <w:t>检验检测机构</w:t>
      </w:r>
      <w:r>
        <w:rPr>
          <w:rFonts w:hint="eastAsia"/>
          <w:lang w:val="de-DE"/>
        </w:rPr>
        <w:t>应建立健全的保密管理制度，明确保密责任人，确保信息的保密性、安全性和可控性。同时，应采取先进的技术和管理手段，如数据加密、访问控制等，以防止信息泄露或被非法使用。</w:t>
      </w:r>
    </w:p>
    <w:p>
      <w:pPr>
        <w:pStyle w:val="61"/>
        <w:keepNext w:val="0"/>
        <w:keepLines w:val="0"/>
        <w:pageBreakBefore w:val="0"/>
        <w:numPr>
          <w:ilvl w:val="-1"/>
          <w:numId w:val="0"/>
        </w:numPr>
        <w:kinsoku/>
        <w:wordWrap/>
        <w:overflowPunct/>
        <w:topLinePunct w:val="0"/>
        <w:bidi w:val="0"/>
        <w:snapToGrid w:val="0"/>
        <w:spacing w:line="360" w:lineRule="auto"/>
        <w:ind w:left="0" w:leftChars="0" w:firstLine="0" w:firstLineChars="0"/>
        <w:jc w:val="left"/>
        <w:textAlignment w:val="auto"/>
        <w:rPr>
          <w:lang w:val="de-DE"/>
        </w:rPr>
      </w:pP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81" w:name="_Toc984341462"/>
      <w:bookmarkStart w:id="82" w:name="_Toc1875045605"/>
      <w:r>
        <w:rPr>
          <w:rFonts w:hint="eastAsia"/>
        </w:rPr>
        <w:t>组织结构要求</w:t>
      </w:r>
      <w:bookmarkEnd w:id="81"/>
      <w:bookmarkEnd w:id="82"/>
    </w:p>
    <w:p>
      <w:pPr>
        <w:pStyle w:val="228"/>
        <w:keepNext w:val="0"/>
        <w:keepLines w:val="0"/>
        <w:pageBreakBefore w:val="0"/>
        <w:numPr>
          <w:ilvl w:val="1"/>
          <w:numId w:val="35"/>
        </w:numPr>
        <w:kinsoku/>
        <w:wordWrap/>
        <w:overflowPunct/>
        <w:topLinePunct w:val="0"/>
        <w:bidi w:val="0"/>
        <w:snapToGrid w:val="0"/>
        <w:spacing w:beforeLines="0" w:afterLines="0" w:line="360" w:lineRule="auto"/>
        <w:ind w:left="0" w:leftChars="0" w:firstLine="0" w:firstLineChars="0"/>
        <w:jc w:val="left"/>
        <w:textAlignment w:val="auto"/>
        <w:outlineLvl w:val="9"/>
        <w:rPr>
          <w:rFonts w:hAnsi="宋体"/>
          <w:lang w:val="de-DE"/>
        </w:rPr>
      </w:pPr>
      <w:r>
        <w:rPr>
          <w:rFonts w:hint="eastAsia" w:hAnsi="宋体"/>
          <w:lang w:val="de-DE" w:eastAsia="zh-CN"/>
        </w:rPr>
        <w:t>检验检测机构</w:t>
      </w:r>
      <w:r>
        <w:rPr>
          <w:rFonts w:hint="eastAsia" w:hAnsi="宋体"/>
          <w:lang w:val="de-DE"/>
        </w:rPr>
        <w:t>应是在中华人民共和国境内依法成立并能够承担相应法律责任的法人。不具备独立法人资格的</w:t>
      </w:r>
      <w:r>
        <w:rPr>
          <w:rFonts w:hint="eastAsia" w:hAnsi="宋体"/>
          <w:lang w:val="de-DE" w:eastAsia="zh-CN"/>
        </w:rPr>
        <w:t>检验检测机构</w:t>
      </w:r>
      <w:r>
        <w:rPr>
          <w:rFonts w:hint="eastAsia" w:hAnsi="宋体"/>
          <w:lang w:val="de-DE"/>
        </w:rPr>
        <w:t>应当经所在法人单位授权。</w:t>
      </w:r>
    </w:p>
    <w:p>
      <w:pPr>
        <w:pStyle w:val="228"/>
        <w:keepNext w:val="0"/>
        <w:keepLines w:val="0"/>
        <w:pageBreakBefore w:val="0"/>
        <w:numPr>
          <w:ilvl w:val="1"/>
          <w:numId w:val="35"/>
        </w:numPr>
        <w:kinsoku/>
        <w:wordWrap/>
        <w:overflowPunct/>
        <w:topLinePunct w:val="0"/>
        <w:bidi w:val="0"/>
        <w:snapToGrid w:val="0"/>
        <w:spacing w:beforeLines="0" w:afterLines="0" w:line="360" w:lineRule="auto"/>
        <w:ind w:left="0" w:leftChars="0" w:firstLine="0" w:firstLineChars="0"/>
        <w:jc w:val="left"/>
        <w:textAlignment w:val="auto"/>
        <w:outlineLvl w:val="9"/>
        <w:rPr>
          <w:rFonts w:hint="default" w:eastAsia="宋体"/>
          <w:lang w:val="en-US" w:eastAsia="zh-CN"/>
        </w:rPr>
      </w:pPr>
      <w:r>
        <w:rPr>
          <w:rFonts w:hint="eastAsia" w:hAnsi="宋体"/>
          <w:lang w:val="de-DE" w:eastAsia="zh-CN"/>
        </w:rPr>
        <w:t>检验检测机构</w:t>
      </w:r>
      <w:r>
        <w:rPr>
          <w:rFonts w:hint="eastAsia" w:hAnsi="宋体"/>
          <w:lang w:val="de-DE"/>
        </w:rPr>
        <w:t>对其出具的检测数据、结果负责，并承担</w:t>
      </w:r>
      <w:r>
        <w:rPr>
          <w:rFonts w:hint="eastAsia" w:hAnsi="宋体"/>
          <w:lang w:val="en-US" w:eastAsia="zh-CN"/>
        </w:rPr>
        <w:t>法律责任。</w:t>
      </w:r>
    </w:p>
    <w:p>
      <w:pPr>
        <w:pStyle w:val="228"/>
        <w:keepNext w:val="0"/>
        <w:keepLines w:val="0"/>
        <w:pageBreakBefore w:val="0"/>
        <w:numPr>
          <w:ilvl w:val="0"/>
          <w:numId w:val="0"/>
        </w:numPr>
        <w:kinsoku/>
        <w:wordWrap/>
        <w:overflowPunct/>
        <w:topLinePunct w:val="0"/>
        <w:bidi w:val="0"/>
        <w:snapToGrid w:val="0"/>
        <w:spacing w:beforeLines="0" w:afterLines="0" w:line="360" w:lineRule="auto"/>
        <w:ind w:left="0" w:leftChars="0" w:firstLine="0" w:firstLineChars="0"/>
        <w:jc w:val="left"/>
        <w:textAlignment w:val="auto"/>
        <w:outlineLvl w:val="9"/>
        <w:rPr>
          <w:rFonts w:hint="default" w:eastAsia="宋体"/>
          <w:lang w:val="en-US" w:eastAsia="zh-CN"/>
        </w:rPr>
      </w:pPr>
      <w:r>
        <w:rPr>
          <w:rFonts w:hint="eastAsia" w:hAnsi="宋体"/>
          <w:lang w:val="en-US" w:eastAsia="zh-CN"/>
        </w:rPr>
        <w:t>全：对送检产品</w:t>
      </w:r>
    </w:p>
    <w:p>
      <w:pPr>
        <w:pStyle w:val="228"/>
        <w:keepNext w:val="0"/>
        <w:keepLines w:val="0"/>
        <w:pageBreakBefore w:val="0"/>
        <w:numPr>
          <w:ilvl w:val="1"/>
          <w:numId w:val="35"/>
        </w:numPr>
        <w:kinsoku/>
        <w:wordWrap/>
        <w:overflowPunct/>
        <w:topLinePunct w:val="0"/>
        <w:bidi w:val="0"/>
        <w:snapToGrid w:val="0"/>
        <w:spacing w:beforeLines="0" w:afterLines="0" w:line="360" w:lineRule="auto"/>
        <w:ind w:left="0" w:leftChars="0" w:firstLine="0" w:firstLineChars="0"/>
        <w:jc w:val="left"/>
        <w:textAlignment w:val="auto"/>
        <w:outlineLvl w:val="9"/>
        <w:rPr>
          <w:rFonts w:hAnsi="宋体"/>
          <w:color w:val="auto"/>
          <w:lang w:val="de-DE"/>
        </w:rPr>
      </w:pPr>
      <w:r>
        <w:rPr>
          <w:rFonts w:hint="eastAsia" w:hAnsi="宋体"/>
          <w:lang w:val="de-DE" w:eastAsia="zh-CN"/>
        </w:rPr>
        <w:t>检验检测机构</w:t>
      </w:r>
      <w:r>
        <w:rPr>
          <w:rFonts w:hint="eastAsia" w:hAnsi="宋体"/>
          <w:lang w:val="de-DE"/>
        </w:rPr>
        <w:t>应规定</w:t>
      </w:r>
      <w:r>
        <w:rPr>
          <w:rFonts w:hint="eastAsia" w:hAnsi="宋体"/>
          <w:lang w:val="de-DE" w:eastAsia="zh-CN"/>
        </w:rPr>
        <w:t>检验检测机构</w:t>
      </w:r>
      <w:r>
        <w:rPr>
          <w:rFonts w:hint="eastAsia" w:hAnsi="宋体"/>
          <w:lang w:val="de-DE"/>
        </w:rPr>
        <w:t>的组织和管理体系（结构），明确与检测活动相关部门、人员的职责以及相互</w:t>
      </w:r>
      <w:r>
        <w:rPr>
          <w:rFonts w:hint="eastAsia" w:hAnsi="宋体"/>
          <w:color w:val="auto"/>
          <w:lang w:val="de-DE"/>
        </w:rPr>
        <w:t>关系。</w:t>
      </w:r>
    </w:p>
    <w:p>
      <w:pPr>
        <w:pStyle w:val="228"/>
        <w:keepNext w:val="0"/>
        <w:keepLines w:val="0"/>
        <w:pageBreakBefore w:val="0"/>
        <w:numPr>
          <w:ilvl w:val="1"/>
          <w:numId w:val="35"/>
        </w:numPr>
        <w:kinsoku/>
        <w:wordWrap/>
        <w:overflowPunct/>
        <w:topLinePunct w:val="0"/>
        <w:bidi w:val="0"/>
        <w:snapToGrid w:val="0"/>
        <w:spacing w:beforeLines="0" w:afterLines="0" w:line="360" w:lineRule="auto"/>
        <w:ind w:left="0" w:leftChars="0" w:firstLine="0" w:firstLineChars="0"/>
        <w:jc w:val="left"/>
        <w:textAlignment w:val="auto"/>
        <w:outlineLvl w:val="9"/>
        <w:rPr>
          <w:rFonts w:hAnsi="宋体"/>
          <w:color w:val="auto"/>
          <w:lang w:val="de-DE"/>
        </w:rPr>
      </w:pPr>
      <w:r>
        <w:rPr>
          <w:rFonts w:hint="eastAsia" w:hAnsi="宋体"/>
          <w:color w:val="auto"/>
          <w:lang w:val="de-DE" w:eastAsia="zh-CN"/>
        </w:rPr>
        <w:t>检验检测机构</w:t>
      </w:r>
      <w:r>
        <w:rPr>
          <w:rFonts w:hint="eastAsia" w:hAnsi="宋体"/>
          <w:color w:val="auto"/>
          <w:lang w:val="de-DE"/>
        </w:rPr>
        <w:t>应充分识别检测活动中可能产生的风险，并通过多种措施对可能面临的风险加以规避和控制，并保留风险识别和对应措施的评审记录。</w:t>
      </w:r>
    </w:p>
    <w:p>
      <w:pPr>
        <w:pStyle w:val="228"/>
        <w:keepNext w:val="0"/>
        <w:keepLines w:val="0"/>
        <w:pageBreakBefore w:val="0"/>
        <w:numPr>
          <w:ilvl w:val="1"/>
          <w:numId w:val="35"/>
        </w:numPr>
        <w:kinsoku/>
        <w:wordWrap/>
        <w:overflowPunct/>
        <w:topLinePunct w:val="0"/>
        <w:bidi w:val="0"/>
        <w:snapToGrid w:val="0"/>
        <w:spacing w:beforeLines="0" w:afterLines="0" w:line="360" w:lineRule="auto"/>
        <w:ind w:left="0" w:leftChars="0" w:firstLine="0" w:firstLineChars="0"/>
        <w:jc w:val="left"/>
        <w:textAlignment w:val="auto"/>
        <w:outlineLvl w:val="9"/>
        <w:rPr>
          <w:rFonts w:hAnsi="宋体"/>
          <w:color w:val="auto"/>
          <w:lang w:val="de-DE"/>
        </w:rPr>
      </w:pPr>
      <w:r>
        <w:rPr>
          <w:rFonts w:hint="eastAsia" w:hAnsi="宋体"/>
          <w:color w:val="auto"/>
          <w:lang w:val="de-DE" w:eastAsia="zh-CN"/>
        </w:rPr>
        <w:t>检验检测机构</w:t>
      </w:r>
      <w:r>
        <w:rPr>
          <w:rFonts w:hint="eastAsia" w:hAnsi="宋体"/>
          <w:color w:val="auto"/>
          <w:lang w:val="de-DE"/>
        </w:rPr>
        <w:t>应获得《中国合格评定国家认可委员会</w:t>
      </w:r>
      <w:r>
        <w:rPr>
          <w:rFonts w:hint="eastAsia" w:hAnsi="宋体"/>
          <w:color w:val="auto"/>
          <w:lang w:val="de-DE" w:eastAsia="zh-CN"/>
        </w:rPr>
        <w:t>检验检测机构</w:t>
      </w:r>
      <w:r>
        <w:rPr>
          <w:rFonts w:hint="eastAsia" w:hAnsi="宋体"/>
          <w:color w:val="auto"/>
          <w:lang w:val="de-DE"/>
        </w:rPr>
        <w:t>认可证书》。</w:t>
      </w:r>
    </w:p>
    <w:p>
      <w:pPr>
        <w:pStyle w:val="228"/>
        <w:keepNext w:val="0"/>
        <w:keepLines w:val="0"/>
        <w:pageBreakBefore w:val="0"/>
        <w:numPr>
          <w:ilvl w:val="-1"/>
          <w:numId w:val="0"/>
        </w:numPr>
        <w:kinsoku/>
        <w:wordWrap/>
        <w:overflowPunct/>
        <w:topLinePunct w:val="0"/>
        <w:bidi w:val="0"/>
        <w:snapToGrid w:val="0"/>
        <w:spacing w:beforeLines="0" w:afterLines="0" w:line="360" w:lineRule="auto"/>
        <w:ind w:left="0" w:leftChars="0" w:firstLine="0" w:firstLineChars="0"/>
        <w:jc w:val="left"/>
        <w:textAlignment w:val="auto"/>
        <w:rPr>
          <w:rFonts w:hAnsi="宋体"/>
          <w:color w:val="auto"/>
          <w:lang w:val="de-DE"/>
        </w:rPr>
      </w:pP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rPr>
          <w:color w:val="auto"/>
        </w:rPr>
      </w:pPr>
      <w:bookmarkStart w:id="83" w:name="_Toc1760418993"/>
      <w:bookmarkStart w:id="84" w:name="_Toc435656817"/>
      <w:bookmarkStart w:id="85" w:name="_Toc1716447157"/>
      <w:r>
        <w:rPr>
          <w:rFonts w:hint="eastAsia"/>
          <w:color w:val="auto"/>
        </w:rPr>
        <w:t>人员要求</w:t>
      </w:r>
      <w:bookmarkEnd w:id="83"/>
      <w:bookmarkEnd w:id="84"/>
      <w:bookmarkEnd w:id="85"/>
    </w:p>
    <w:p>
      <w:pPr>
        <w:pStyle w:val="228"/>
        <w:keepNext w:val="0"/>
        <w:keepLines w:val="0"/>
        <w:pageBreakBefore w:val="0"/>
        <w:numPr>
          <w:ilvl w:val="1"/>
          <w:numId w:val="36"/>
        </w:numPr>
        <w:kinsoku/>
        <w:wordWrap/>
        <w:overflowPunct/>
        <w:topLinePunct w:val="0"/>
        <w:bidi w:val="0"/>
        <w:snapToGrid w:val="0"/>
        <w:spacing w:beforeLines="0" w:afterLines="0" w:line="360" w:lineRule="auto"/>
        <w:ind w:left="0" w:leftChars="0" w:firstLine="0" w:firstLineChars="0"/>
        <w:jc w:val="left"/>
        <w:textAlignment w:val="auto"/>
        <w:rPr>
          <w:rFonts w:hAnsi="宋体"/>
          <w:color w:val="auto"/>
          <w:lang w:val="de-DE"/>
        </w:rPr>
      </w:pPr>
      <w:r>
        <w:rPr>
          <w:rFonts w:hint="eastAsia" w:hAnsi="宋体"/>
          <w:color w:val="auto"/>
          <w:lang w:val="de-DE" w:eastAsia="zh-CN"/>
        </w:rPr>
        <w:t>检验检测机构</w:t>
      </w:r>
      <w:r>
        <w:rPr>
          <w:rFonts w:hint="eastAsia" w:hAnsi="宋体"/>
          <w:color w:val="auto"/>
          <w:lang w:val="de-DE"/>
        </w:rPr>
        <w:t>应制定人员管理制度，其中包括人员录用、考核、日常管理</w:t>
      </w:r>
      <w:r>
        <w:rPr>
          <w:rFonts w:hint="eastAsia" w:hAnsi="宋体"/>
          <w:color w:val="auto"/>
          <w:lang w:val="de-DE" w:eastAsia="zh-CN"/>
        </w:rPr>
        <w:t>、</w:t>
      </w:r>
      <w:r>
        <w:rPr>
          <w:rFonts w:hint="eastAsia" w:hAnsi="宋体"/>
          <w:color w:val="auto"/>
          <w:lang w:val="de-DE"/>
        </w:rPr>
        <w:t>离职</w:t>
      </w:r>
      <w:r>
        <w:rPr>
          <w:rFonts w:hint="eastAsia" w:hAnsi="宋体"/>
          <w:color w:val="auto"/>
          <w:lang w:val="de-DE" w:eastAsia="zh-CN"/>
        </w:rPr>
        <w:t>、</w:t>
      </w:r>
      <w:r>
        <w:rPr>
          <w:rFonts w:hint="eastAsia" w:hAnsi="宋体"/>
          <w:color w:val="auto"/>
          <w:lang w:val="en-US" w:eastAsia="zh-CN"/>
        </w:rPr>
        <w:t>保密协议</w:t>
      </w:r>
      <w:r>
        <w:rPr>
          <w:rFonts w:hint="eastAsia" w:hAnsi="宋体"/>
          <w:color w:val="auto"/>
          <w:lang w:val="de-DE"/>
        </w:rPr>
        <w:t>等方面的内容和要求。</w:t>
      </w:r>
    </w:p>
    <w:p>
      <w:pPr>
        <w:pStyle w:val="228"/>
        <w:keepNext w:val="0"/>
        <w:keepLines w:val="0"/>
        <w:pageBreakBefore w:val="0"/>
        <w:numPr>
          <w:ilvl w:val="1"/>
          <w:numId w:val="36"/>
        </w:numPr>
        <w:kinsoku/>
        <w:wordWrap/>
        <w:overflowPunct/>
        <w:topLinePunct w:val="0"/>
        <w:bidi w:val="0"/>
        <w:snapToGrid w:val="0"/>
        <w:spacing w:beforeLines="0" w:afterLines="0" w:line="360" w:lineRule="auto"/>
        <w:ind w:left="0" w:leftChars="0" w:firstLine="0" w:firstLineChars="0"/>
        <w:jc w:val="left"/>
        <w:textAlignment w:val="auto"/>
        <w:rPr>
          <w:rFonts w:hAnsi="宋体"/>
          <w:color w:val="auto"/>
          <w:lang w:val="de-DE"/>
        </w:rPr>
      </w:pPr>
      <w:r>
        <w:rPr>
          <w:rFonts w:hint="eastAsia" w:hAnsi="宋体"/>
          <w:color w:val="auto"/>
          <w:lang w:val="de-DE" w:eastAsia="zh-CN"/>
        </w:rPr>
        <w:t>检验检测机构</w:t>
      </w:r>
      <w:r>
        <w:rPr>
          <w:rFonts w:hint="eastAsia" w:hAnsi="宋体"/>
          <w:color w:val="auto"/>
          <w:lang w:val="de-DE"/>
        </w:rPr>
        <w:t>应当具有与其从事检测活动相</w:t>
      </w:r>
      <w:r>
        <w:rPr>
          <w:rFonts w:hint="eastAsia" w:hAnsi="宋体"/>
          <w:color w:val="auto"/>
          <w:lang w:val="en-US" w:eastAsia="zh-CN"/>
        </w:rPr>
        <w:t>匹配</w:t>
      </w:r>
      <w:r>
        <w:rPr>
          <w:rFonts w:hint="eastAsia" w:hAnsi="宋体"/>
          <w:color w:val="auto"/>
          <w:lang w:val="de-DE"/>
        </w:rPr>
        <w:t>的检测技术人员和管理人员。</w:t>
      </w:r>
      <w:r>
        <w:rPr>
          <w:rFonts w:hint="eastAsia" w:hAnsi="宋体"/>
          <w:color w:val="auto"/>
          <w:lang w:val="en-US" w:eastAsia="zh-CN"/>
        </w:rPr>
        <w:t>总</w:t>
      </w:r>
      <w:r>
        <w:rPr>
          <w:rFonts w:hint="eastAsia" w:hAnsi="宋体"/>
          <w:color w:val="auto"/>
          <w:lang w:val="de-DE"/>
        </w:rPr>
        <w:t>检测技术人员应不少于10人</w:t>
      </w:r>
      <w:r>
        <w:rPr>
          <w:rFonts w:hint="eastAsia" w:hAnsi="宋体"/>
          <w:color w:val="auto"/>
          <w:lang w:val="de-DE" w:eastAsia="zh-CN"/>
        </w:rPr>
        <w:t>，</w:t>
      </w:r>
      <w:r>
        <w:rPr>
          <w:rFonts w:hint="eastAsia" w:hAnsi="宋体"/>
          <w:color w:val="auto"/>
        </w:rPr>
        <w:t>且针对每一独立产品检测领域，确保至少配备两名专业技术人员，以保障检测工作的专业性和深度。</w:t>
      </w:r>
    </w:p>
    <w:p>
      <w:pPr>
        <w:pStyle w:val="228"/>
        <w:keepNext w:val="0"/>
        <w:keepLines w:val="0"/>
        <w:pageBreakBefore w:val="0"/>
        <w:numPr>
          <w:ilvl w:val="1"/>
          <w:numId w:val="36"/>
        </w:numPr>
        <w:kinsoku/>
        <w:wordWrap/>
        <w:overflowPunct/>
        <w:topLinePunct w:val="0"/>
        <w:bidi w:val="0"/>
        <w:snapToGrid w:val="0"/>
        <w:spacing w:beforeLines="0" w:afterLines="0" w:line="360" w:lineRule="auto"/>
        <w:ind w:left="0" w:leftChars="0" w:firstLine="0" w:firstLineChars="0"/>
        <w:jc w:val="left"/>
        <w:textAlignment w:val="auto"/>
        <w:rPr>
          <w:rFonts w:hAnsi="宋体"/>
          <w:color w:val="auto"/>
          <w:lang w:val="de-DE"/>
        </w:rPr>
      </w:pPr>
      <w:r>
        <w:rPr>
          <w:rFonts w:hint="eastAsia" w:hAnsi="宋体"/>
          <w:color w:val="auto"/>
          <w:lang w:val="de-DE"/>
        </w:rPr>
        <w:t>检测人员应理解和掌握数字产品相关技术标准，熟悉数字产品数据安全和隐私保护检测方法、流程和工作规范等方面的知识，具有依据检测结果做出专业判断以及出具检测报告等任务的能力。</w:t>
      </w:r>
    </w:p>
    <w:p>
      <w:pPr>
        <w:pStyle w:val="228"/>
        <w:keepNext w:val="0"/>
        <w:keepLines w:val="0"/>
        <w:pageBreakBefore w:val="0"/>
        <w:numPr>
          <w:ilvl w:val="1"/>
          <w:numId w:val="36"/>
        </w:numPr>
        <w:kinsoku/>
        <w:wordWrap/>
        <w:overflowPunct/>
        <w:topLinePunct w:val="0"/>
        <w:bidi w:val="0"/>
        <w:snapToGrid w:val="0"/>
        <w:spacing w:beforeLines="0" w:afterLines="0" w:line="360" w:lineRule="auto"/>
        <w:ind w:left="0" w:leftChars="0" w:firstLine="0" w:firstLineChars="0"/>
        <w:jc w:val="left"/>
        <w:textAlignment w:val="auto"/>
        <w:rPr>
          <w:rFonts w:hAnsi="宋体"/>
          <w:color w:val="auto"/>
          <w:lang w:val="de-DE"/>
        </w:rPr>
      </w:pPr>
      <w:r>
        <w:rPr>
          <w:rFonts w:hint="eastAsia" w:hAnsi="宋体"/>
          <w:color w:val="auto"/>
          <w:lang w:val="de-DE"/>
        </w:rPr>
        <w:t>检测人员应具有中国出入境检验检疫协会颁发的网络安全检测人员认证证书或国家、行业认可的网络安全相关的资格证书。授权签字人应具备网络安全、数据安全专业知识，取得国家或行业认可的与网络安全、数据安全相关的资格证书。</w:t>
      </w:r>
    </w:p>
    <w:p>
      <w:pPr>
        <w:pStyle w:val="228"/>
        <w:keepNext w:val="0"/>
        <w:keepLines w:val="0"/>
        <w:pageBreakBefore w:val="0"/>
        <w:numPr>
          <w:ilvl w:val="1"/>
          <w:numId w:val="36"/>
        </w:numPr>
        <w:kinsoku/>
        <w:wordWrap/>
        <w:overflowPunct/>
        <w:topLinePunct w:val="0"/>
        <w:bidi w:val="0"/>
        <w:snapToGrid w:val="0"/>
        <w:spacing w:beforeLines="0" w:afterLines="0" w:line="360" w:lineRule="auto"/>
        <w:ind w:left="0" w:leftChars="0" w:firstLine="0" w:firstLineChars="0"/>
        <w:jc w:val="left"/>
        <w:textAlignment w:val="auto"/>
        <w:rPr>
          <w:rFonts w:hAnsi="宋体"/>
          <w:color w:val="auto"/>
          <w:lang w:val="de-DE"/>
        </w:rPr>
      </w:pPr>
      <w:r>
        <w:rPr>
          <w:rFonts w:hint="eastAsia" w:hAnsi="宋体"/>
          <w:color w:val="auto"/>
          <w:lang w:val="de-DE" w:eastAsia="zh-CN"/>
        </w:rPr>
        <w:t>检验检测机构</w:t>
      </w:r>
      <w:r>
        <w:rPr>
          <w:rFonts w:hint="eastAsia" w:hAnsi="宋体"/>
          <w:color w:val="auto"/>
          <w:lang w:val="de-DE"/>
        </w:rPr>
        <w:t>应在管理层中分别任命一名技术主管和质量主管，分别全面负责检测技术工作和质量管理工作。</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rFonts w:hint="default" w:hAnsi="宋体"/>
          <w:lang w:val="en-US" w:eastAsia="zh-CN"/>
        </w:rPr>
      </w:pP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86" w:name="_Toc1179537548"/>
      <w:bookmarkStart w:id="87" w:name="_Toc1312370696"/>
      <w:bookmarkStart w:id="88" w:name="_Toc1479810632"/>
      <w:r>
        <w:rPr>
          <w:rFonts w:hint="eastAsia"/>
        </w:rPr>
        <w:t>设施与设备要求</w:t>
      </w:r>
      <w:bookmarkEnd w:id="86"/>
      <w:bookmarkEnd w:id="87"/>
      <w:bookmarkEnd w:id="88"/>
    </w:p>
    <w:p>
      <w:pPr>
        <w:pStyle w:val="253"/>
        <w:keepNext w:val="0"/>
        <w:keepLines w:val="0"/>
        <w:pageBreakBefore w:val="0"/>
        <w:numPr>
          <w:ilvl w:val="1"/>
          <w:numId w:val="37"/>
        </w:numPr>
        <w:kinsoku/>
        <w:wordWrap/>
        <w:overflowPunct/>
        <w:topLinePunct w:val="0"/>
        <w:bidi w:val="0"/>
        <w:snapToGrid w:val="0"/>
        <w:spacing w:line="360" w:lineRule="auto"/>
        <w:ind w:left="0" w:leftChars="0" w:firstLine="0" w:firstLineChars="0"/>
        <w:jc w:val="left"/>
        <w:textAlignment w:val="auto"/>
        <w:rPr>
          <w:rFonts w:ascii="宋体" w:hAnsi="宋体"/>
        </w:rPr>
      </w:pPr>
      <w:r>
        <w:rPr>
          <w:rFonts w:hint="eastAsia" w:ascii="宋体" w:hAnsi="宋体"/>
          <w:lang w:eastAsia="zh-CN"/>
        </w:rPr>
        <w:t>检验检测机构</w:t>
      </w:r>
      <w:r>
        <w:rPr>
          <w:rFonts w:hint="eastAsia" w:ascii="宋体" w:hAnsi="宋体"/>
        </w:rPr>
        <w:t>应具有固定的办公场所和</w:t>
      </w:r>
      <w:r>
        <w:rPr>
          <w:rFonts w:hint="eastAsia" w:ascii="宋体" w:hAnsi="宋体"/>
          <w:lang w:val="en-US" w:eastAsia="zh-CN"/>
        </w:rPr>
        <w:t>专业</w:t>
      </w:r>
      <w:r>
        <w:rPr>
          <w:rFonts w:hint="eastAsia" w:ascii="宋体" w:hAnsi="宋体"/>
        </w:rPr>
        <w:t>机房，配备满足数字产品数据安全和隐私保护检测业务需要的设备、设施，配备必要的</w:t>
      </w:r>
      <w:r>
        <w:rPr>
          <w:rFonts w:hint="eastAsia" w:ascii="宋体" w:hAnsi="宋体"/>
          <w:lang w:val="en-US" w:eastAsia="zh-CN"/>
        </w:rPr>
        <w:t>专业</w:t>
      </w:r>
      <w:r>
        <w:rPr>
          <w:rFonts w:hint="eastAsia" w:ascii="宋体" w:hAnsi="宋体"/>
        </w:rPr>
        <w:t>检测、分析工具。</w:t>
      </w:r>
    </w:p>
    <w:p>
      <w:pPr>
        <w:pStyle w:val="253"/>
        <w:keepNext w:val="0"/>
        <w:keepLines w:val="0"/>
        <w:pageBreakBefore w:val="0"/>
        <w:numPr>
          <w:ilvl w:val="1"/>
          <w:numId w:val="37"/>
        </w:numPr>
        <w:kinsoku/>
        <w:wordWrap/>
        <w:overflowPunct/>
        <w:topLinePunct w:val="0"/>
        <w:bidi w:val="0"/>
        <w:snapToGrid w:val="0"/>
        <w:spacing w:line="360" w:lineRule="auto"/>
        <w:ind w:left="0" w:leftChars="0" w:firstLine="0" w:firstLineChars="0"/>
        <w:jc w:val="left"/>
        <w:textAlignment w:val="auto"/>
        <w:rPr>
          <w:rFonts w:ascii="宋体" w:hAnsi="宋体"/>
        </w:rPr>
      </w:pPr>
      <w:r>
        <w:rPr>
          <w:rFonts w:hint="eastAsia" w:ascii="宋体" w:hAnsi="宋体"/>
        </w:rPr>
        <w:t>检测工具使用前</w:t>
      </w:r>
      <w:r>
        <w:rPr>
          <w:rFonts w:hint="eastAsia" w:ascii="宋体" w:hAnsi="宋体"/>
          <w:lang w:val="en-US" w:eastAsia="zh-CN"/>
        </w:rPr>
        <w:t>需进行版本</w:t>
      </w:r>
      <w:r>
        <w:rPr>
          <w:rFonts w:hint="eastAsia" w:ascii="宋体" w:hAnsi="宋体"/>
        </w:rPr>
        <w:t>核验，</w:t>
      </w:r>
      <w:r>
        <w:rPr>
          <w:rFonts w:hint="eastAsia" w:ascii="宋体" w:hAnsi="宋体"/>
          <w:lang w:val="en-US" w:eastAsia="zh-CN"/>
        </w:rPr>
        <w:t>确保</w:t>
      </w:r>
      <w:r>
        <w:rPr>
          <w:rFonts w:hint="eastAsia" w:ascii="宋体" w:hAnsi="宋体"/>
        </w:rPr>
        <w:t>为最新版本（包括规则库、插件等）。</w:t>
      </w:r>
      <w:r>
        <w:rPr>
          <w:rFonts w:hint="eastAsia" w:ascii="宋体" w:hAnsi="宋体"/>
          <w:lang w:eastAsia="zh-CN"/>
        </w:rPr>
        <w:t>检验检测机构</w:t>
      </w:r>
      <w:r>
        <w:rPr>
          <w:rFonts w:hint="eastAsia" w:ascii="宋体" w:hAnsi="宋体"/>
        </w:rPr>
        <w:t>自行研发的工具需经过功能性、安全性和结果准确性验证，并保留验证记录</w:t>
      </w:r>
      <w:r>
        <w:rPr>
          <w:rFonts w:hint="eastAsia" w:ascii="宋体" w:hAnsi="宋体"/>
          <w:lang w:eastAsia="zh-CN"/>
        </w:rPr>
        <w:t>，</w:t>
      </w:r>
      <w:r>
        <w:rPr>
          <w:rFonts w:hint="eastAsia" w:ascii="宋体" w:hAnsi="宋体"/>
          <w:lang w:val="en-US" w:eastAsia="zh-CN"/>
        </w:rPr>
        <w:t>以保障</w:t>
      </w:r>
      <w:r>
        <w:rPr>
          <w:rFonts w:hint="eastAsia" w:ascii="宋体" w:hAnsi="宋体"/>
        </w:rPr>
        <w:t>检测设备</w:t>
      </w:r>
      <w:r>
        <w:rPr>
          <w:rFonts w:hint="eastAsia" w:ascii="宋体" w:hAnsi="宋体"/>
          <w:lang w:val="en-US" w:eastAsia="zh-CN"/>
        </w:rPr>
        <w:t>和</w:t>
      </w:r>
      <w:r>
        <w:rPr>
          <w:rFonts w:hint="eastAsia" w:ascii="宋体" w:hAnsi="宋体"/>
        </w:rPr>
        <w:t>工具运行状态良好，并通过</w:t>
      </w:r>
      <w:r>
        <w:rPr>
          <w:rFonts w:hint="eastAsia" w:ascii="宋体" w:hAnsi="宋体"/>
          <w:lang w:val="en-US" w:eastAsia="zh-CN"/>
        </w:rPr>
        <w:t>定期</w:t>
      </w:r>
      <w:r>
        <w:rPr>
          <w:rFonts w:hint="eastAsia" w:ascii="宋体" w:hAnsi="宋体"/>
        </w:rPr>
        <w:t>更新、升级</w:t>
      </w:r>
      <w:r>
        <w:rPr>
          <w:rFonts w:hint="eastAsia" w:ascii="宋体" w:hAnsi="宋体"/>
          <w:lang w:val="en-US" w:eastAsia="zh-CN"/>
        </w:rPr>
        <w:t>维持</w:t>
      </w:r>
      <w:r>
        <w:rPr>
          <w:rFonts w:hint="eastAsia" w:ascii="宋体" w:hAnsi="宋体"/>
        </w:rPr>
        <w:t>检测数据</w:t>
      </w:r>
      <w:r>
        <w:rPr>
          <w:rFonts w:hint="eastAsia" w:ascii="宋体" w:hAnsi="宋体"/>
          <w:lang w:val="en-US" w:eastAsia="zh-CN"/>
        </w:rPr>
        <w:t>的准确习惯</w:t>
      </w:r>
      <w:r>
        <w:rPr>
          <w:rFonts w:hint="eastAsia" w:ascii="宋体" w:hAnsi="宋体"/>
        </w:rPr>
        <w:t>。</w:t>
      </w:r>
    </w:p>
    <w:p>
      <w:pPr>
        <w:pStyle w:val="253"/>
        <w:keepNext w:val="0"/>
        <w:keepLines w:val="0"/>
        <w:pageBreakBefore w:val="0"/>
        <w:numPr>
          <w:ilvl w:val="1"/>
          <w:numId w:val="37"/>
        </w:numPr>
        <w:kinsoku/>
        <w:wordWrap/>
        <w:overflowPunct/>
        <w:topLinePunct w:val="0"/>
        <w:bidi w:val="0"/>
        <w:snapToGrid w:val="0"/>
        <w:spacing w:line="360" w:lineRule="auto"/>
        <w:ind w:left="0" w:leftChars="0" w:firstLine="0" w:firstLineChars="0"/>
        <w:jc w:val="left"/>
        <w:textAlignment w:val="auto"/>
        <w:rPr>
          <w:rFonts w:ascii="宋体" w:hAnsi="宋体"/>
        </w:rPr>
      </w:pPr>
      <w:r>
        <w:rPr>
          <w:rFonts w:hint="eastAsia" w:ascii="宋体" w:hAnsi="宋体"/>
          <w:lang w:eastAsia="zh-CN"/>
        </w:rPr>
        <w:t>检验检测机构</w:t>
      </w:r>
      <w:r>
        <w:rPr>
          <w:rFonts w:hint="eastAsia" w:ascii="宋体" w:hAnsi="宋体"/>
          <w:lang w:val="en-US" w:eastAsia="zh-CN"/>
        </w:rPr>
        <w:t>采</w:t>
      </w:r>
      <w:r>
        <w:rPr>
          <w:rFonts w:hint="eastAsia" w:ascii="宋体" w:hAnsi="宋体"/>
        </w:rPr>
        <w:t>用的与检测活动相关的管理系统、设备设施</w:t>
      </w:r>
      <w:r>
        <w:rPr>
          <w:rFonts w:hint="eastAsia" w:ascii="宋体" w:hAnsi="宋体"/>
          <w:lang w:val="en-US" w:eastAsia="zh-CN"/>
        </w:rPr>
        <w:t>的</w:t>
      </w:r>
      <w:r>
        <w:rPr>
          <w:rFonts w:hint="eastAsia" w:ascii="宋体" w:hAnsi="宋体"/>
        </w:rPr>
        <w:t>核心技术</w:t>
      </w:r>
      <w:r>
        <w:rPr>
          <w:rFonts w:hint="eastAsia" w:ascii="宋体" w:hAnsi="宋体"/>
          <w:lang w:val="en-US" w:eastAsia="zh-CN"/>
        </w:rPr>
        <w:t>及</w:t>
      </w:r>
      <w:r>
        <w:rPr>
          <w:rFonts w:hint="eastAsia" w:ascii="宋体" w:hAnsi="宋体"/>
        </w:rPr>
        <w:t>关键部件</w:t>
      </w:r>
      <w:r>
        <w:rPr>
          <w:rFonts w:hint="eastAsia" w:ascii="宋体" w:hAnsi="宋体"/>
          <w:lang w:val="en-US" w:eastAsia="zh-CN"/>
        </w:rPr>
        <w:t>宜</w:t>
      </w:r>
      <w:r>
        <w:rPr>
          <w:rFonts w:hint="eastAsia" w:ascii="宋体" w:hAnsi="宋体"/>
        </w:rPr>
        <w:t>优先选择具备我国自主知识产权的产品，以强化技术自主性和安全性。</w:t>
      </w:r>
    </w:p>
    <w:p>
      <w:pPr>
        <w:pStyle w:val="253"/>
        <w:keepNext w:val="0"/>
        <w:keepLines w:val="0"/>
        <w:pageBreakBefore w:val="0"/>
        <w:numPr>
          <w:ilvl w:val="1"/>
          <w:numId w:val="37"/>
        </w:numPr>
        <w:kinsoku/>
        <w:wordWrap/>
        <w:overflowPunct/>
        <w:topLinePunct w:val="0"/>
        <w:bidi w:val="0"/>
        <w:snapToGrid w:val="0"/>
        <w:spacing w:line="360" w:lineRule="auto"/>
        <w:ind w:left="0" w:leftChars="0" w:firstLine="0" w:firstLineChars="0"/>
        <w:jc w:val="left"/>
        <w:textAlignment w:val="auto"/>
        <w:rPr>
          <w:rFonts w:ascii="宋体" w:hAnsi="宋体"/>
        </w:rPr>
      </w:pPr>
      <w:r>
        <w:rPr>
          <w:rFonts w:hint="eastAsia" w:ascii="宋体" w:hAnsi="宋体"/>
          <w:lang w:eastAsia="zh-CN"/>
        </w:rPr>
        <w:t>检验检测机构</w:t>
      </w:r>
      <w:r>
        <w:rPr>
          <w:rFonts w:hint="eastAsia" w:ascii="宋体" w:hAnsi="宋体"/>
        </w:rPr>
        <w:t>应建立设备管理制度，明确设备设施管理职责，规范仪器设备的采购、使用、维护及运行管理的各个环节，确保</w:t>
      </w:r>
      <w:r>
        <w:rPr>
          <w:rFonts w:hint="eastAsia" w:ascii="宋体" w:hAnsi="宋体"/>
          <w:lang w:eastAsia="zh-CN"/>
        </w:rPr>
        <w:t>检验检测机构</w:t>
      </w:r>
      <w:r>
        <w:rPr>
          <w:rFonts w:hint="eastAsia" w:ascii="宋体" w:hAnsi="宋体"/>
        </w:rPr>
        <w:t>运行的高效与合规。</w:t>
      </w:r>
    </w:p>
    <w:p>
      <w:pPr>
        <w:pStyle w:val="109"/>
        <w:keepNext w:val="0"/>
        <w:keepLines w:val="0"/>
        <w:pageBreakBefore w:val="0"/>
        <w:kinsoku/>
        <w:wordWrap/>
        <w:overflowPunct/>
        <w:topLinePunct w:val="0"/>
        <w:bidi w:val="0"/>
        <w:snapToGrid w:val="0"/>
        <w:spacing w:beforeLines="0" w:afterLines="0" w:line="360" w:lineRule="auto"/>
        <w:ind w:left="0" w:leftChars="0" w:firstLine="0" w:firstLineChars="0"/>
        <w:jc w:val="left"/>
        <w:textAlignment w:val="auto"/>
      </w:pPr>
      <w:bookmarkStart w:id="89" w:name="_Toc1066023779"/>
      <w:bookmarkStart w:id="90" w:name="_Toc1169176117"/>
      <w:bookmarkStart w:id="91" w:name="_Toc209749335"/>
      <w:r>
        <w:rPr>
          <w:rFonts w:hint="eastAsia"/>
        </w:rPr>
        <w:t>过程</w:t>
      </w:r>
      <w:r>
        <w:rPr>
          <w:rFonts w:hint="eastAsia"/>
          <w:lang w:val="en-US" w:eastAsia="zh-CN"/>
        </w:rPr>
        <w:t>要求</w:t>
      </w:r>
      <w:bookmarkEnd w:id="89"/>
      <w:bookmarkEnd w:id="90"/>
      <w:bookmarkEnd w:id="91"/>
    </w:p>
    <w:p>
      <w:pPr>
        <w:pStyle w:val="253"/>
        <w:keepNext w:val="0"/>
        <w:keepLines w:val="0"/>
        <w:pageBreakBefore w:val="0"/>
        <w:numPr>
          <w:ilvl w:val="1"/>
          <w:numId w:val="38"/>
        </w:numPr>
        <w:kinsoku/>
        <w:wordWrap/>
        <w:overflowPunct/>
        <w:topLinePunct w:val="0"/>
        <w:bidi w:val="0"/>
        <w:snapToGrid w:val="0"/>
        <w:spacing w:line="360" w:lineRule="auto"/>
        <w:ind w:left="0" w:leftChars="0" w:firstLine="0" w:firstLineChars="0"/>
        <w:jc w:val="left"/>
        <w:textAlignment w:val="auto"/>
        <w:outlineLvl w:val="1"/>
        <w:rPr>
          <w:rFonts w:ascii="黑体" w:hAnsi="黑体" w:eastAsia="黑体"/>
        </w:rPr>
      </w:pPr>
      <w:bookmarkStart w:id="92" w:name="_Toc867628369"/>
      <w:bookmarkStart w:id="93" w:name="_Toc205586732"/>
      <w:r>
        <w:rPr>
          <w:rFonts w:hint="eastAsia" w:ascii="黑体" w:hAnsi="黑体" w:eastAsia="黑体"/>
        </w:rPr>
        <w:t>检测方法和程序</w:t>
      </w:r>
      <w:bookmarkEnd w:id="92"/>
      <w:bookmarkEnd w:id="93"/>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outlineLvl w:val="9"/>
        <w:rPr>
          <w:rFonts w:ascii="宋体" w:hAnsi="宋体"/>
        </w:rPr>
      </w:pPr>
      <w:r>
        <w:rPr>
          <w:rFonts w:hint="eastAsia" w:ascii="宋体" w:hAnsi="宋体"/>
          <w:lang w:eastAsia="zh-CN"/>
        </w:rPr>
        <w:t>检验检测机构</w:t>
      </w:r>
      <w:r>
        <w:rPr>
          <w:rFonts w:hint="eastAsia" w:ascii="宋体" w:hAnsi="宋体"/>
        </w:rPr>
        <w:t>应制定检测过程管理程序（如检测方法、检测前准备、检测方案编制、检测管理、检测报告编制以及相应的作业指导书、记录等），并确保现行有效，便于检测人员获取、阅读。</w:t>
      </w:r>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outlineLvl w:val="9"/>
        <w:rPr>
          <w:rFonts w:ascii="宋体" w:hAnsi="宋体"/>
        </w:rPr>
      </w:pPr>
      <w:r>
        <w:rPr>
          <w:rFonts w:hint="eastAsia" w:ascii="宋体" w:hAnsi="宋体"/>
          <w:lang w:eastAsia="zh-CN"/>
        </w:rPr>
        <w:t>检验检测机构</w:t>
      </w:r>
      <w:r>
        <w:rPr>
          <w:rFonts w:hint="eastAsia" w:ascii="宋体" w:hAnsi="宋体"/>
        </w:rPr>
        <w:t>应确保使用最新有效版本的检测方法。</w:t>
      </w:r>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outlineLvl w:val="9"/>
        <w:rPr>
          <w:rFonts w:ascii="宋体" w:hAnsi="宋体"/>
        </w:rPr>
      </w:pPr>
      <w:r>
        <w:rPr>
          <w:rFonts w:hint="eastAsia" w:ascii="宋体" w:hAnsi="宋体"/>
        </w:rPr>
        <w:t>如果</w:t>
      </w:r>
      <w:r>
        <w:rPr>
          <w:rFonts w:hint="eastAsia" w:ascii="宋体" w:hAnsi="宋体"/>
          <w:lang w:eastAsia="zh-CN"/>
        </w:rPr>
        <w:t>检验检测机构</w:t>
      </w:r>
      <w:r>
        <w:rPr>
          <w:rFonts w:hint="eastAsia" w:ascii="宋体" w:hAnsi="宋体"/>
        </w:rPr>
        <w:t>的检测活动现场涉及数字产品部件或固件的拆解作业，应制订安全实施拆解作业指导书，并配备必要的保护设备。</w:t>
      </w:r>
    </w:p>
    <w:p>
      <w:pPr>
        <w:pStyle w:val="253"/>
        <w:keepNext w:val="0"/>
        <w:keepLines w:val="0"/>
        <w:pageBreakBefore w:val="0"/>
        <w:numPr>
          <w:ilvl w:val="1"/>
          <w:numId w:val="38"/>
        </w:numPr>
        <w:kinsoku/>
        <w:wordWrap/>
        <w:overflowPunct/>
        <w:topLinePunct w:val="0"/>
        <w:bidi w:val="0"/>
        <w:snapToGrid w:val="0"/>
        <w:spacing w:line="360" w:lineRule="auto"/>
        <w:ind w:left="0" w:leftChars="0" w:firstLine="0" w:firstLineChars="0"/>
        <w:jc w:val="left"/>
        <w:textAlignment w:val="auto"/>
        <w:outlineLvl w:val="1"/>
        <w:rPr>
          <w:rFonts w:ascii="黑体" w:hAnsi="黑体" w:eastAsia="黑体"/>
        </w:rPr>
      </w:pPr>
      <w:bookmarkStart w:id="94" w:name="_Toc2142500348"/>
      <w:bookmarkStart w:id="95" w:name="_Toc816034653"/>
      <w:r>
        <w:rPr>
          <w:rFonts w:hint="eastAsia" w:ascii="黑体" w:hAnsi="黑体" w:eastAsia="黑体"/>
        </w:rPr>
        <w:t>检测样品的处置</w:t>
      </w:r>
      <w:bookmarkEnd w:id="94"/>
      <w:bookmarkEnd w:id="95"/>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rPr>
          <w:rFonts w:hint="eastAsia" w:ascii="宋体" w:hAnsi="宋体"/>
        </w:rPr>
      </w:pPr>
      <w:r>
        <w:rPr>
          <w:rFonts w:hint="eastAsia" w:ascii="宋体" w:hAnsi="宋体"/>
          <w:lang w:eastAsia="zh-CN"/>
        </w:rPr>
        <w:t>检验检测机构</w:t>
      </w:r>
      <w:r>
        <w:rPr>
          <w:rFonts w:hint="eastAsia" w:ascii="宋体" w:hAnsi="宋体"/>
        </w:rPr>
        <w:t>应采取措施避免被测产品（样品）在检测期间可能发生的风险。必要情况下，应告知被测产品（样品）提供方检测过程中可能产生的风险，与产品提供方确认规避风险的保护措施，并经过被产品提供方书面确认。</w:t>
      </w:r>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rPr>
          <w:rFonts w:hint="default" w:ascii="宋体" w:hAnsi="宋体"/>
          <w:lang w:val="en-US" w:eastAsia="zh-CN"/>
        </w:rPr>
      </w:pPr>
      <w:r>
        <w:rPr>
          <w:rFonts w:hint="eastAsia" w:ascii="宋体" w:hAnsi="宋体"/>
        </w:rPr>
        <w:t>检测完成后，被测样品原则上由</w:t>
      </w:r>
      <w:r>
        <w:rPr>
          <w:rFonts w:hint="eastAsia" w:ascii="宋体" w:hAnsi="宋体"/>
          <w:lang w:eastAsia="zh-CN"/>
        </w:rPr>
        <w:t>检验检测机构</w:t>
      </w:r>
      <w:r>
        <w:rPr>
          <w:rFonts w:hint="eastAsia" w:ascii="宋体" w:hAnsi="宋体"/>
        </w:rPr>
        <w:t>保管至留存期满。期满后，</w:t>
      </w:r>
      <w:r>
        <w:rPr>
          <w:rFonts w:hint="eastAsia" w:ascii="宋体" w:hAnsi="宋体"/>
          <w:lang w:eastAsia="zh-CN"/>
        </w:rPr>
        <w:t>检验检测机构</w:t>
      </w:r>
      <w:r>
        <w:rPr>
          <w:rFonts w:hint="eastAsia" w:ascii="宋体" w:hAnsi="宋体"/>
        </w:rPr>
        <w:t>负责销毁。若样品提供方请求取回样品，</w:t>
      </w:r>
      <w:r>
        <w:rPr>
          <w:rFonts w:hint="eastAsia" w:ascii="宋体" w:hAnsi="宋体"/>
          <w:lang w:eastAsia="zh-CN"/>
        </w:rPr>
        <w:t>检验检测机构</w:t>
      </w:r>
      <w:r>
        <w:rPr>
          <w:rFonts w:hint="eastAsia" w:ascii="宋体" w:hAnsi="宋体"/>
        </w:rPr>
        <w:t>应明确告知相关风险，经双方签署书面同意书后，方可允许取回。</w:t>
      </w:r>
    </w:p>
    <w:p>
      <w:pPr>
        <w:pStyle w:val="253"/>
        <w:keepNext w:val="0"/>
        <w:keepLines w:val="0"/>
        <w:pageBreakBefore w:val="0"/>
        <w:numPr>
          <w:ilvl w:val="0"/>
          <w:numId w:val="38"/>
        </w:numPr>
        <w:kinsoku/>
        <w:wordWrap/>
        <w:overflowPunct/>
        <w:topLinePunct w:val="0"/>
        <w:bidi w:val="0"/>
        <w:snapToGrid w:val="0"/>
        <w:spacing w:line="360" w:lineRule="auto"/>
        <w:ind w:left="0" w:leftChars="0" w:firstLine="0" w:firstLineChars="0"/>
        <w:jc w:val="left"/>
        <w:textAlignment w:val="auto"/>
        <w:outlineLvl w:val="0"/>
        <w:rPr>
          <w:rFonts w:ascii="黑体" w:hAnsi="黑体" w:eastAsia="黑体"/>
        </w:rPr>
      </w:pPr>
      <w:bookmarkStart w:id="96" w:name="_Toc2145039587"/>
      <w:bookmarkStart w:id="97" w:name="_Toc1263843229"/>
      <w:r>
        <w:rPr>
          <w:rFonts w:hint="eastAsia" w:ascii="黑体" w:hAnsi="黑体" w:eastAsia="黑体"/>
        </w:rPr>
        <w:t>检测记录</w:t>
      </w:r>
      <w:r>
        <w:rPr>
          <w:rFonts w:hint="eastAsia" w:ascii="黑体" w:hAnsi="黑体" w:eastAsia="黑体"/>
          <w:lang w:val="en-US" w:eastAsia="zh-CN"/>
        </w:rPr>
        <w:t>与报告</w:t>
      </w:r>
      <w:bookmarkEnd w:id="96"/>
      <w:bookmarkEnd w:id="97"/>
      <w:r>
        <w:rPr>
          <w:rFonts w:hint="eastAsia" w:ascii="黑体" w:hAnsi="黑体" w:eastAsia="黑体"/>
          <w:lang w:val="en-US" w:eastAsia="zh-CN"/>
        </w:rPr>
        <w:t>要求</w:t>
      </w:r>
    </w:p>
    <w:p>
      <w:pPr>
        <w:pStyle w:val="253"/>
        <w:keepNext w:val="0"/>
        <w:keepLines w:val="0"/>
        <w:pageBreakBefore w:val="0"/>
        <w:numPr>
          <w:ilvl w:val="0"/>
          <w:numId w:val="0"/>
        </w:numPr>
        <w:kinsoku/>
        <w:wordWrap/>
        <w:overflowPunct/>
        <w:topLinePunct w:val="0"/>
        <w:bidi w:val="0"/>
        <w:snapToGrid w:val="0"/>
        <w:spacing w:line="360" w:lineRule="auto"/>
        <w:ind w:leftChars="0"/>
        <w:jc w:val="left"/>
        <w:textAlignment w:val="auto"/>
        <w:outlineLvl w:val="1"/>
        <w:rPr>
          <w:rFonts w:hint="default" w:ascii="黑体" w:hAnsi="黑体" w:eastAsia="黑体"/>
          <w:lang w:val="en-US"/>
        </w:rPr>
      </w:pPr>
      <w:bookmarkStart w:id="98" w:name="_Toc1872356520"/>
      <w:bookmarkStart w:id="99" w:name="_Toc652397326"/>
      <w:r>
        <w:rPr>
          <w:rFonts w:hint="eastAsia" w:ascii="黑体" w:hAnsi="黑体" w:eastAsia="黑体"/>
          <w:lang w:val="en-US" w:eastAsia="zh-CN"/>
        </w:rPr>
        <w:t>9.1 检测记录</w:t>
      </w:r>
      <w:bookmarkEnd w:id="98"/>
      <w:bookmarkEnd w:id="99"/>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outlineLvl w:val="9"/>
        <w:rPr>
          <w:rFonts w:ascii="宋体" w:hAnsi="宋体"/>
        </w:rPr>
      </w:pPr>
      <w:r>
        <w:rPr>
          <w:rFonts w:hint="eastAsia" w:ascii="宋体" w:hAnsi="宋体"/>
        </w:rPr>
        <w:t>检测记录应规范、清晰。检测记录均需检测人员签字确认。</w:t>
      </w:r>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outlineLvl w:val="9"/>
        <w:rPr>
          <w:rFonts w:ascii="宋体" w:hAnsi="宋体"/>
        </w:rPr>
      </w:pPr>
      <w:r>
        <w:rPr>
          <w:rFonts w:hint="eastAsia" w:ascii="宋体" w:hAnsi="宋体"/>
          <w:lang w:eastAsia="zh-CN"/>
        </w:rPr>
        <w:t>检验检测机构</w:t>
      </w:r>
      <w:r>
        <w:rPr>
          <w:rFonts w:hint="eastAsia" w:ascii="宋体" w:hAnsi="宋体"/>
        </w:rPr>
        <w:t>应保存检测工具的升级或维护记录，至少应包括工具名称、工具版本、升级后的最新版本、升级日期和升级</w:t>
      </w:r>
      <w:r>
        <w:rPr>
          <w:rFonts w:hint="eastAsia" w:ascii="宋体" w:hAnsi="宋体"/>
          <w:lang w:val="en-US" w:eastAsia="zh-CN"/>
        </w:rPr>
        <w:t>维护责任人</w:t>
      </w:r>
      <w:r>
        <w:rPr>
          <w:rFonts w:hint="eastAsia" w:ascii="宋体" w:hAnsi="宋体"/>
        </w:rPr>
        <w:t>等。</w:t>
      </w:r>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outlineLvl w:val="9"/>
        <w:rPr>
          <w:rFonts w:ascii="宋体" w:hAnsi="宋体"/>
        </w:rPr>
      </w:pPr>
      <w:r>
        <w:rPr>
          <w:rFonts w:hint="eastAsia" w:ascii="宋体" w:hAnsi="宋体"/>
          <w:lang w:eastAsia="zh-CN"/>
        </w:rPr>
        <w:t>检验检测机构</w:t>
      </w:r>
      <w:r>
        <w:rPr>
          <w:rFonts w:hint="eastAsia" w:ascii="宋体" w:hAnsi="宋体"/>
        </w:rPr>
        <w:t>应保存检测工具的病毒或恶意代码检查记录。</w:t>
      </w:r>
    </w:p>
    <w:p>
      <w:pPr>
        <w:pStyle w:val="253"/>
        <w:keepNext w:val="0"/>
        <w:keepLines w:val="0"/>
        <w:pageBreakBefore w:val="0"/>
        <w:numPr>
          <w:ilvl w:val="1"/>
          <w:numId w:val="38"/>
        </w:numPr>
        <w:kinsoku/>
        <w:wordWrap/>
        <w:overflowPunct/>
        <w:topLinePunct w:val="0"/>
        <w:bidi w:val="0"/>
        <w:snapToGrid w:val="0"/>
        <w:spacing w:line="360" w:lineRule="auto"/>
        <w:ind w:left="0" w:leftChars="0" w:firstLine="0" w:firstLineChars="0"/>
        <w:jc w:val="left"/>
        <w:textAlignment w:val="auto"/>
        <w:outlineLvl w:val="1"/>
        <w:rPr>
          <w:rFonts w:ascii="黑体" w:hAnsi="黑体" w:eastAsia="黑体"/>
        </w:rPr>
      </w:pPr>
      <w:bookmarkStart w:id="100" w:name="_Toc1937840147"/>
      <w:bookmarkStart w:id="101" w:name="_Toc1618152149"/>
      <w:r>
        <w:rPr>
          <w:rFonts w:hint="eastAsia" w:ascii="黑体" w:hAnsi="黑体" w:eastAsia="黑体"/>
        </w:rPr>
        <w:t>检测报告</w:t>
      </w:r>
      <w:bookmarkEnd w:id="100"/>
      <w:bookmarkEnd w:id="101"/>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rPr>
          <w:rFonts w:hint="eastAsia" w:ascii="宋体" w:hAnsi="宋体" w:eastAsia="宋体"/>
          <w:lang w:val="en-US" w:eastAsia="zh-CN"/>
        </w:rPr>
      </w:pPr>
      <w:r>
        <w:rPr>
          <w:rFonts w:hint="eastAsia" w:ascii="宋体" w:hAnsi="宋体"/>
          <w:lang w:eastAsia="zh-CN"/>
        </w:rPr>
        <w:t>检验检测机构</w:t>
      </w:r>
      <w:r>
        <w:rPr>
          <w:rFonts w:hint="eastAsia" w:ascii="宋体" w:hAnsi="宋体"/>
        </w:rPr>
        <w:t>应按照CNAS-CL01检测和校准</w:t>
      </w:r>
      <w:r>
        <w:rPr>
          <w:rFonts w:hint="eastAsia" w:ascii="宋体" w:hAnsi="宋体"/>
          <w:lang w:eastAsia="zh-CN"/>
        </w:rPr>
        <w:t>检验检测机构</w:t>
      </w:r>
      <w:r>
        <w:rPr>
          <w:rFonts w:hint="eastAsia" w:ascii="宋体" w:hAnsi="宋体"/>
        </w:rPr>
        <w:t>能力认可准则（ISO/IEC 17025）第7.8条的要求出具数字产品数据安全与隐私保护检测报告</w:t>
      </w:r>
      <w:r>
        <w:rPr>
          <w:rFonts w:hint="eastAsia" w:ascii="宋体" w:hAnsi="宋体"/>
          <w:lang w:eastAsia="zh-CN"/>
        </w:rPr>
        <w:t>。</w:t>
      </w:r>
    </w:p>
    <w:p>
      <w:pPr>
        <w:pStyle w:val="253"/>
        <w:keepNext w:val="0"/>
        <w:keepLines w:val="0"/>
        <w:pageBreakBefore w:val="0"/>
        <w:numPr>
          <w:ilvl w:val="2"/>
          <w:numId w:val="38"/>
        </w:numPr>
        <w:kinsoku/>
        <w:wordWrap/>
        <w:overflowPunct/>
        <w:topLinePunct w:val="0"/>
        <w:bidi w:val="0"/>
        <w:snapToGrid w:val="0"/>
        <w:spacing w:line="360" w:lineRule="auto"/>
        <w:ind w:left="0" w:leftChars="0" w:firstLine="0" w:firstLineChars="0"/>
        <w:jc w:val="left"/>
        <w:textAlignment w:val="auto"/>
        <w:rPr>
          <w:rFonts w:ascii="宋体" w:hAnsi="宋体"/>
        </w:rPr>
      </w:pPr>
      <w:r>
        <w:rPr>
          <w:rFonts w:hint="eastAsia" w:ascii="宋体" w:hAnsi="宋体"/>
        </w:rPr>
        <w:t>检测报告应包括所有检测结果、根据检测结果做出的专业判断以及理解和解释这些结果所需要的所有信息，以上信息均应正确、准确、清晰地表述。</w:t>
      </w:r>
    </w:p>
    <w:p>
      <w:pPr>
        <w:pStyle w:val="109"/>
        <w:keepNext w:val="0"/>
        <w:keepLines w:val="0"/>
        <w:pageBreakBefore w:val="0"/>
        <w:numPr>
          <w:ilvl w:val="1"/>
          <w:numId w:val="0"/>
        </w:numPr>
        <w:kinsoku/>
        <w:wordWrap/>
        <w:overflowPunct/>
        <w:topLinePunct w:val="0"/>
        <w:bidi w:val="0"/>
        <w:snapToGrid w:val="0"/>
        <w:spacing w:beforeLines="0" w:afterLines="0" w:line="360" w:lineRule="auto"/>
        <w:ind w:leftChars="0"/>
        <w:jc w:val="left"/>
        <w:textAlignment w:val="auto"/>
      </w:pPr>
      <w:bookmarkStart w:id="102" w:name="_Toc1236408618"/>
      <w:bookmarkStart w:id="103" w:name="_Toc542360227"/>
      <w:bookmarkStart w:id="104" w:name="_Toc550262635"/>
      <w:r>
        <w:rPr>
          <w:rFonts w:hint="eastAsia"/>
          <w:lang w:val="en-US" w:eastAsia="zh-CN"/>
        </w:rPr>
        <w:t xml:space="preserve">10 </w:t>
      </w:r>
      <w:r>
        <w:rPr>
          <w:rFonts w:hint="eastAsia"/>
        </w:rPr>
        <w:t>管理体系要求</w:t>
      </w:r>
      <w:bookmarkEnd w:id="102"/>
      <w:bookmarkEnd w:id="103"/>
      <w:bookmarkEnd w:id="104"/>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rPr>
          <w:b/>
          <w:bCs/>
        </w:rPr>
      </w:pPr>
      <w:r>
        <w:rPr>
          <w:rFonts w:hint="eastAsia"/>
          <w:lang w:eastAsia="zh-CN"/>
        </w:rPr>
        <w:t>检验检测机构</w:t>
      </w:r>
      <w:r>
        <w:rPr>
          <w:rFonts w:hint="eastAsia"/>
        </w:rPr>
        <w:t>应建立符合CNAS-CL01检测和校准</w:t>
      </w:r>
      <w:r>
        <w:rPr>
          <w:rFonts w:hint="eastAsia"/>
          <w:lang w:eastAsia="zh-CN"/>
        </w:rPr>
        <w:t>检验检测机构</w:t>
      </w:r>
      <w:r>
        <w:rPr>
          <w:rFonts w:hint="eastAsia"/>
        </w:rPr>
        <w:t>能力认可准则（ISO/IEC 17025）第8章要求的管理体系。</w:t>
      </w: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p>
    <w:bookmarkEnd w:id="15"/>
    <w:p>
      <w:pPr>
        <w:pStyle w:val="68"/>
        <w:keepNext w:val="0"/>
        <w:keepLines w:val="0"/>
        <w:pageBreakBefore w:val="0"/>
        <w:kinsoku/>
        <w:wordWrap/>
        <w:overflowPunct/>
        <w:topLinePunct w:val="0"/>
        <w:bidi w:val="0"/>
        <w:snapToGrid w:val="0"/>
        <w:spacing w:beforeLines="0" w:afterLines="0" w:line="360" w:lineRule="auto"/>
        <w:ind w:left="0" w:leftChars="0" w:firstLine="0" w:firstLineChars="0"/>
        <w:jc w:val="center"/>
        <w:textAlignment w:val="auto"/>
      </w:pPr>
      <w:bookmarkStart w:id="105" w:name="_Toc1527737321"/>
      <w:bookmarkStart w:id="106" w:name="_Toc130546450"/>
      <w:bookmarkStart w:id="107" w:name="_Toc1199522463"/>
      <w:bookmarkStart w:id="108" w:name="_Toc130482591"/>
      <w:bookmarkStart w:id="109" w:name="_Toc149236393"/>
      <w:bookmarkStart w:id="110" w:name="_Toc130373713"/>
      <w:bookmarkStart w:id="111" w:name="_Toc1267874354"/>
      <w:bookmarkStart w:id="112" w:name="_Toc161994363"/>
      <w:r>
        <w:rPr>
          <w:rFonts w:hint="eastAsia"/>
          <w:spacing w:val="105"/>
        </w:rPr>
        <w:t>参考文</w:t>
      </w:r>
      <w:r>
        <w:rPr>
          <w:rFonts w:hint="eastAsia"/>
        </w:rPr>
        <w:t>献</w:t>
      </w:r>
      <w:bookmarkEnd w:id="105"/>
      <w:bookmarkEnd w:id="106"/>
      <w:bookmarkEnd w:id="107"/>
      <w:bookmarkEnd w:id="108"/>
      <w:bookmarkEnd w:id="109"/>
      <w:bookmarkEnd w:id="110"/>
      <w:bookmarkEnd w:id="111"/>
      <w:bookmarkEnd w:id="112"/>
      <w:bookmarkStart w:id="113" w:name="_Toc1779067905"/>
      <w:bookmarkEnd w:id="113"/>
      <w:bookmarkStart w:id="114" w:name="BookMark6"/>
      <w:bookmarkEnd w:id="114"/>
    </w:p>
    <w:p>
      <w:pPr>
        <w:pStyle w:val="61"/>
        <w:keepNext w:val="0"/>
        <w:keepLines w:val="0"/>
        <w:pageBreakBefore w:val="0"/>
        <w:kinsoku/>
        <w:wordWrap/>
        <w:overflowPunct/>
        <w:topLinePunct w:val="0"/>
        <w:bidi w:val="0"/>
        <w:snapToGrid w:val="0"/>
        <w:spacing w:line="360" w:lineRule="auto"/>
        <w:ind w:left="0" w:leftChars="0" w:firstLine="0" w:firstLineChars="0"/>
        <w:jc w:val="left"/>
        <w:textAlignment w:val="auto"/>
      </w:pPr>
    </w:p>
    <w:sectPr>
      <w:footerReference r:id="rId11" w:type="default"/>
      <w:pgSz w:w="11905" w:h="16838"/>
      <w:pgMar w:top="1134" w:right="1134" w:bottom="1134" w:left="1134" w:header="1417" w:footer="1134" w:gutter="283"/>
      <w:pgNumType w:fmt="decimal" w:start="1"/>
      <w:cols w:space="0" w:num="1"/>
      <w:formProt w:val="0"/>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小标宋">
    <w:altName w:val="方正小标宋简体"/>
    <w:panose1 w:val="00000000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page" w:x="1403" w:y="-7"/>
      <w:jc w:val="left"/>
      <w:rPr>
        <w:rStyle w:val="34"/>
      </w:rPr>
    </w:pPr>
    <w:r>
      <w:fldChar w:fldCharType="begin"/>
    </w:r>
    <w:r>
      <w:rPr>
        <w:rStyle w:val="34"/>
      </w:rPr>
      <w:instrText xml:space="preserve">PAGE  </w:instrText>
    </w:r>
    <w:r>
      <w:fldChar w:fldCharType="separate"/>
    </w:r>
    <w:r>
      <w:rPr>
        <w:rStyle w:val="34"/>
      </w:rPr>
      <w:t>II</w: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8"/>
      <w:spacing w:before="0" w:after="284"/>
      <w:jc w:val="both"/>
      <w:rPr>
        <w:rFonts w:ascii="黑体"/>
        <w:color w:val="000000"/>
        <w:sz w:val="21"/>
        <w:szCs w:val="21"/>
      </w:rPr>
    </w:pPr>
    <w:r>
      <w:rPr>
        <w:rFonts w:hint="eastAsia" w:ascii="黑体" w:hAnsi="黑体" w:eastAsia="黑体" w:cs="黑体"/>
        <w:sz w:val="21"/>
        <w:szCs w:val="21"/>
      </w:rPr>
      <w:t>T/CIQA 66-2023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0"/>
    </w:pPr>
    <w:r>
      <w:t>P/CIQA-</w:t>
    </w:r>
    <w:r>
      <w:rPr>
        <w:rFonts w:hint="eastAsia"/>
        <w:lang w:val="en-US" w:eastAsia="zh-CN"/>
      </w:rPr>
      <w:t>199</w:t>
    </w:r>
    <w: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43"/>
      <w:suff w:val="nothing"/>
      <w:lvlText w:val="%1　"/>
      <w:lvlJc w:val="left"/>
      <w:pPr>
        <w:ind w:left="0" w:firstLine="0"/>
      </w:pPr>
      <w:rPr>
        <w:rFonts w:hint="eastAsia" w:ascii="黑体" w:hAnsi="Times New Roman" w:eastAsia="黑体" w:cs="Times New Roman"/>
        <w:b w:val="0"/>
        <w:i w:val="0"/>
        <w:sz w:val="21"/>
        <w:szCs w:val="21"/>
      </w:rPr>
    </w:lvl>
    <w:lvl w:ilvl="1" w:tentative="0">
      <w:start w:val="1"/>
      <w:numFmt w:val="decimal"/>
      <w:pStyle w:val="2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lang w:val="de-DE"/>
      </w:rPr>
    </w:lvl>
    <w:lvl w:ilvl="2" w:tentative="0">
      <w:start w:val="1"/>
      <w:numFmt w:val="decimal"/>
      <w:pStyle w:val="244"/>
      <w:suff w:val="nothing"/>
      <w:lvlText w:val="%1.%2.%3　"/>
      <w:lvlJc w:val="left"/>
      <w:pPr>
        <w:ind w:left="0" w:firstLine="0"/>
      </w:pPr>
      <w:rPr>
        <w:rFonts w:hint="eastAsia" w:ascii="黑体" w:hAnsi="Times New Roman" w:eastAsia="黑体" w:cs="Times New Roman"/>
        <w:b w:val="0"/>
        <w:i w:val="0"/>
        <w:sz w:val="21"/>
      </w:rPr>
    </w:lvl>
    <w:lvl w:ilvl="3" w:tentative="0">
      <w:start w:val="1"/>
      <w:numFmt w:val="decimal"/>
      <w:pStyle w:val="245"/>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pStyle w:val="246"/>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pStyle w:val="247"/>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1">
    <w:nsid w:val="2BA76BB4"/>
    <w:multiLevelType w:val="multilevel"/>
    <w:tmpl w:val="2BA76BB4"/>
    <w:lvl w:ilvl="0" w:tentative="0">
      <w:start w:val="7"/>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黑体" w:hAnsi="黑体" w:eastAsia="黑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2">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36104C6E"/>
    <w:multiLevelType w:val="multilevel"/>
    <w:tmpl w:val="36104C6E"/>
    <w:lvl w:ilvl="0" w:tentative="0">
      <w:start w:val="4"/>
      <w:numFmt w:val="decimal"/>
      <w:lvlText w:val="%1"/>
      <w:lvlJc w:val="left"/>
      <w:pPr>
        <w:ind w:left="550" w:hanging="550"/>
      </w:pPr>
      <w:rPr>
        <w:rFonts w:hint="default"/>
      </w:rPr>
    </w:lvl>
    <w:lvl w:ilvl="1" w:tentative="0">
      <w:start w:val="2"/>
      <w:numFmt w:val="decimal"/>
      <w:lvlText w:val="%1.%2"/>
      <w:lvlJc w:val="left"/>
      <w:pPr>
        <w:ind w:left="550" w:hanging="550"/>
      </w:pPr>
      <w:rPr>
        <w:rFonts w:hint="default"/>
      </w:rPr>
    </w:lvl>
    <w:lvl w:ilvl="2" w:tentative="0">
      <w:start w:val="1"/>
      <w:numFmt w:val="decimal"/>
      <w:lvlText w:val="%1.%2.%3"/>
      <w:lvlJc w:val="left"/>
      <w:pPr>
        <w:ind w:left="720" w:hanging="720"/>
      </w:pPr>
      <w:rPr>
        <w:rFonts w:hint="default" w:ascii="黑体" w:hAnsi="黑体" w:eastAsia="黑体"/>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5">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4E7D6340"/>
    <w:multiLevelType w:val="multilevel"/>
    <w:tmpl w:val="4E7D6340"/>
    <w:lvl w:ilvl="0" w:tentative="0">
      <w:start w:val="8"/>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ascii="黑体" w:hAnsi="黑体" w:eastAsia="黑体"/>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0">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4812770"/>
    <w:multiLevelType w:val="multilevel"/>
    <w:tmpl w:val="54812770"/>
    <w:lvl w:ilvl="0" w:tentative="0">
      <w:start w:val="6"/>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黑体" w:hAnsi="黑体" w:eastAsia="黑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2">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E53DDB"/>
    <w:multiLevelType w:val="multilevel"/>
    <w:tmpl w:val="6DE53DDB"/>
    <w:lvl w:ilvl="0" w:tentative="0">
      <w:start w:val="4"/>
      <w:numFmt w:val="decimal"/>
      <w:lvlText w:val="%1"/>
      <w:lvlJc w:val="left"/>
      <w:pPr>
        <w:ind w:left="550" w:hanging="550"/>
      </w:pPr>
      <w:rPr>
        <w:rFonts w:hint="default"/>
      </w:rPr>
    </w:lvl>
    <w:lvl w:ilvl="1" w:tentative="0">
      <w:start w:val="1"/>
      <w:numFmt w:val="decimal"/>
      <w:lvlText w:val="%1.%2"/>
      <w:lvlJc w:val="left"/>
      <w:pPr>
        <w:ind w:left="650" w:hanging="550"/>
      </w:pPr>
      <w:rPr>
        <w:rFonts w:hint="default"/>
      </w:rPr>
    </w:lvl>
    <w:lvl w:ilvl="2" w:tentative="0">
      <w:start w:val="1"/>
      <w:numFmt w:val="decimal"/>
      <w:lvlText w:val="%1.%2.%3"/>
      <w:lvlJc w:val="left"/>
      <w:pPr>
        <w:ind w:left="920" w:hanging="720"/>
      </w:pPr>
      <w:rPr>
        <w:rFonts w:hint="default" w:ascii="黑体" w:hAnsi="黑体" w:eastAsia="黑体"/>
      </w:rPr>
    </w:lvl>
    <w:lvl w:ilvl="3" w:tentative="0">
      <w:start w:val="1"/>
      <w:numFmt w:val="decimal"/>
      <w:lvlText w:val="%1.%2.%3.%4"/>
      <w:lvlJc w:val="left"/>
      <w:pPr>
        <w:ind w:left="1380" w:hanging="1080"/>
      </w:pPr>
      <w:rPr>
        <w:rFonts w:hint="default"/>
      </w:rPr>
    </w:lvl>
    <w:lvl w:ilvl="4" w:tentative="0">
      <w:start w:val="1"/>
      <w:numFmt w:val="decimal"/>
      <w:lvlText w:val="%1.%2.%3.%4.%5"/>
      <w:lvlJc w:val="left"/>
      <w:pPr>
        <w:ind w:left="1480" w:hanging="1080"/>
      </w:pPr>
      <w:rPr>
        <w:rFonts w:hint="default"/>
      </w:rPr>
    </w:lvl>
    <w:lvl w:ilvl="5" w:tentative="0">
      <w:start w:val="1"/>
      <w:numFmt w:val="decimal"/>
      <w:lvlText w:val="%1.%2.%3.%4.%5.%6"/>
      <w:lvlJc w:val="left"/>
      <w:pPr>
        <w:ind w:left="1940" w:hanging="1440"/>
      </w:pPr>
      <w:rPr>
        <w:rFonts w:hint="default"/>
      </w:rPr>
    </w:lvl>
    <w:lvl w:ilvl="6" w:tentative="0">
      <w:start w:val="1"/>
      <w:numFmt w:val="decimal"/>
      <w:lvlText w:val="%1.%2.%3.%4.%5.%6.%7"/>
      <w:lvlJc w:val="left"/>
      <w:pPr>
        <w:ind w:left="2040" w:hanging="1440"/>
      </w:pPr>
      <w:rPr>
        <w:rFonts w:hint="default"/>
      </w:rPr>
    </w:lvl>
    <w:lvl w:ilvl="7" w:tentative="0">
      <w:start w:val="1"/>
      <w:numFmt w:val="decimal"/>
      <w:lvlText w:val="%1.%2.%3.%4.%5.%6.%7.%8"/>
      <w:lvlJc w:val="left"/>
      <w:pPr>
        <w:ind w:left="2500" w:hanging="1800"/>
      </w:pPr>
      <w:rPr>
        <w:rFonts w:hint="default"/>
      </w:rPr>
    </w:lvl>
    <w:lvl w:ilvl="8" w:tentative="0">
      <w:start w:val="1"/>
      <w:numFmt w:val="decimal"/>
      <w:lvlText w:val="%1.%2.%3.%4.%5.%6.%7.%8.%9"/>
      <w:lvlJc w:val="left"/>
      <w:pPr>
        <w:ind w:left="2600" w:hanging="1800"/>
      </w:pPr>
      <w:rPr>
        <w:rFonts w:hint="default"/>
      </w:rPr>
    </w:lvl>
  </w:abstractNum>
  <w:abstractNum w:abstractNumId="35">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527FB2"/>
    <w:multiLevelType w:val="multilevel"/>
    <w:tmpl w:val="76527FB2"/>
    <w:lvl w:ilvl="0" w:tentative="0">
      <w:start w:val="5"/>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黑体" w:hAnsi="黑体" w:eastAsia="黑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7">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2"/>
  </w:num>
  <w:num w:numId="3">
    <w:abstractNumId w:val="5"/>
  </w:num>
  <w:num w:numId="4">
    <w:abstractNumId w:val="28"/>
  </w:num>
  <w:num w:numId="5">
    <w:abstractNumId w:val="23"/>
  </w:num>
  <w:num w:numId="6">
    <w:abstractNumId w:val="16"/>
  </w:num>
  <w:num w:numId="7">
    <w:abstractNumId w:val="8"/>
  </w:num>
  <w:num w:numId="8">
    <w:abstractNumId w:val="3"/>
  </w:num>
  <w:num w:numId="9">
    <w:abstractNumId w:val="9"/>
  </w:num>
  <w:num w:numId="10">
    <w:abstractNumId w:val="20"/>
  </w:num>
  <w:num w:numId="11">
    <w:abstractNumId w:val="30"/>
  </w:num>
  <w:num w:numId="12">
    <w:abstractNumId w:val="13"/>
  </w:num>
  <w:num w:numId="13">
    <w:abstractNumId w:val="15"/>
  </w:num>
  <w:num w:numId="14">
    <w:abstractNumId w:val="7"/>
  </w:num>
  <w:num w:numId="15">
    <w:abstractNumId w:val="24"/>
  </w:num>
  <w:num w:numId="16">
    <w:abstractNumId w:val="26"/>
  </w:num>
  <w:num w:numId="17">
    <w:abstractNumId w:val="22"/>
  </w:num>
  <w:num w:numId="18">
    <w:abstractNumId w:val="35"/>
  </w:num>
  <w:num w:numId="19">
    <w:abstractNumId w:val="18"/>
  </w:num>
  <w:num w:numId="20">
    <w:abstractNumId w:val="1"/>
  </w:num>
  <w:num w:numId="21">
    <w:abstractNumId w:val="12"/>
  </w:num>
  <w:num w:numId="22">
    <w:abstractNumId w:val="37"/>
  </w:num>
  <w:num w:numId="23">
    <w:abstractNumId w:val="25"/>
  </w:num>
  <w:num w:numId="24">
    <w:abstractNumId w:val="6"/>
  </w:num>
  <w:num w:numId="25">
    <w:abstractNumId w:val="31"/>
  </w:num>
  <w:num w:numId="26">
    <w:abstractNumId w:val="33"/>
  </w:num>
  <w:num w:numId="27">
    <w:abstractNumId w:val="2"/>
  </w:num>
  <w:num w:numId="28">
    <w:abstractNumId w:val="4"/>
  </w:num>
  <w:num w:numId="29">
    <w:abstractNumId w:val="17"/>
  </w:num>
  <w:num w:numId="30">
    <w:abstractNumId w:val="29"/>
  </w:num>
  <w:num w:numId="31">
    <w:abstractNumId w:val="27"/>
  </w:num>
  <w:num w:numId="32">
    <w:abstractNumId w:val="10"/>
  </w:num>
  <w:num w:numId="33">
    <w:abstractNumId w:val="34"/>
  </w:num>
  <w:num w:numId="34">
    <w:abstractNumId w:val="14"/>
  </w:num>
  <w:num w:numId="35">
    <w:abstractNumId w:val="36"/>
  </w:num>
  <w:num w:numId="36">
    <w:abstractNumId w:val="21"/>
  </w:num>
  <w:num w:numId="37">
    <w:abstractNumId w:val="1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enforcement="0"/>
  <w:defaultTabStop w:val="420"/>
  <w:drawingGridHorizontalSpacing w:val="21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0D9"/>
    <w:rsid w:val="0000040A"/>
    <w:rsid w:val="00000A94"/>
    <w:rsid w:val="00001972"/>
    <w:rsid w:val="00001D9A"/>
    <w:rsid w:val="0000421C"/>
    <w:rsid w:val="0000506E"/>
    <w:rsid w:val="000078F8"/>
    <w:rsid w:val="00007B3A"/>
    <w:rsid w:val="000107E0"/>
    <w:rsid w:val="00011FDE"/>
    <w:rsid w:val="00012C58"/>
    <w:rsid w:val="00012FFD"/>
    <w:rsid w:val="00014162"/>
    <w:rsid w:val="00014340"/>
    <w:rsid w:val="0001496A"/>
    <w:rsid w:val="000155D0"/>
    <w:rsid w:val="00016A9C"/>
    <w:rsid w:val="0001772B"/>
    <w:rsid w:val="0002064E"/>
    <w:rsid w:val="00022184"/>
    <w:rsid w:val="000224CE"/>
    <w:rsid w:val="00022762"/>
    <w:rsid w:val="000238E0"/>
    <w:rsid w:val="000249DB"/>
    <w:rsid w:val="0002595E"/>
    <w:rsid w:val="000303C3"/>
    <w:rsid w:val="000331D3"/>
    <w:rsid w:val="000346A5"/>
    <w:rsid w:val="000359C3"/>
    <w:rsid w:val="00035A7D"/>
    <w:rsid w:val="00035FFA"/>
    <w:rsid w:val="000365ED"/>
    <w:rsid w:val="000375BD"/>
    <w:rsid w:val="0004249A"/>
    <w:rsid w:val="00043282"/>
    <w:rsid w:val="00044286"/>
    <w:rsid w:val="00047F28"/>
    <w:rsid w:val="000503AA"/>
    <w:rsid w:val="000506A1"/>
    <w:rsid w:val="000515DD"/>
    <w:rsid w:val="00051E69"/>
    <w:rsid w:val="0005265A"/>
    <w:rsid w:val="00053561"/>
    <w:rsid w:val="000539DD"/>
    <w:rsid w:val="00053BD3"/>
    <w:rsid w:val="000556ED"/>
    <w:rsid w:val="00055FE2"/>
    <w:rsid w:val="0005616F"/>
    <w:rsid w:val="00060C2E"/>
    <w:rsid w:val="00061033"/>
    <w:rsid w:val="00061957"/>
    <w:rsid w:val="000619E9"/>
    <w:rsid w:val="000622D4"/>
    <w:rsid w:val="00062D64"/>
    <w:rsid w:val="0006357D"/>
    <w:rsid w:val="00065472"/>
    <w:rsid w:val="0006602B"/>
    <w:rsid w:val="00067F1E"/>
    <w:rsid w:val="00070138"/>
    <w:rsid w:val="00071CC0"/>
    <w:rsid w:val="00071CFC"/>
    <w:rsid w:val="00072A56"/>
    <w:rsid w:val="00073C8C"/>
    <w:rsid w:val="00076318"/>
    <w:rsid w:val="00077B64"/>
    <w:rsid w:val="00080A1C"/>
    <w:rsid w:val="00080E4E"/>
    <w:rsid w:val="00082317"/>
    <w:rsid w:val="00083D2C"/>
    <w:rsid w:val="000842B7"/>
    <w:rsid w:val="0008481E"/>
    <w:rsid w:val="00085191"/>
    <w:rsid w:val="00086AA1"/>
    <w:rsid w:val="00087A77"/>
    <w:rsid w:val="00090CA6"/>
    <w:rsid w:val="00092B8A"/>
    <w:rsid w:val="00092FB0"/>
    <w:rsid w:val="00093372"/>
    <w:rsid w:val="000934C5"/>
    <w:rsid w:val="00093D25"/>
    <w:rsid w:val="00093DAB"/>
    <w:rsid w:val="00093F74"/>
    <w:rsid w:val="00094D73"/>
    <w:rsid w:val="00095BA8"/>
    <w:rsid w:val="00096D63"/>
    <w:rsid w:val="000A0B60"/>
    <w:rsid w:val="000A0EB8"/>
    <w:rsid w:val="000A19FC"/>
    <w:rsid w:val="000A296B"/>
    <w:rsid w:val="000A4A71"/>
    <w:rsid w:val="000A6670"/>
    <w:rsid w:val="000A7311"/>
    <w:rsid w:val="000B060F"/>
    <w:rsid w:val="000B1592"/>
    <w:rsid w:val="000B1FF2"/>
    <w:rsid w:val="000B2F71"/>
    <w:rsid w:val="000B3CDA"/>
    <w:rsid w:val="000B6A0B"/>
    <w:rsid w:val="000B7FAE"/>
    <w:rsid w:val="000C0F6C"/>
    <w:rsid w:val="000C11DB"/>
    <w:rsid w:val="000C1492"/>
    <w:rsid w:val="000C2FBD"/>
    <w:rsid w:val="000C4B41"/>
    <w:rsid w:val="000C53DD"/>
    <w:rsid w:val="000C57D6"/>
    <w:rsid w:val="000C6362"/>
    <w:rsid w:val="000C7666"/>
    <w:rsid w:val="000D0A9C"/>
    <w:rsid w:val="000D1795"/>
    <w:rsid w:val="000D1C40"/>
    <w:rsid w:val="000D329A"/>
    <w:rsid w:val="000D3626"/>
    <w:rsid w:val="000D4B9C"/>
    <w:rsid w:val="000D4EB6"/>
    <w:rsid w:val="000D5FFC"/>
    <w:rsid w:val="000D753B"/>
    <w:rsid w:val="000E13B6"/>
    <w:rsid w:val="000E4314"/>
    <w:rsid w:val="000E4AAF"/>
    <w:rsid w:val="000E4C9E"/>
    <w:rsid w:val="000E6FD7"/>
    <w:rsid w:val="000E7442"/>
    <w:rsid w:val="000E7756"/>
    <w:rsid w:val="000F06E1"/>
    <w:rsid w:val="000F0E3C"/>
    <w:rsid w:val="000F18CD"/>
    <w:rsid w:val="000F19D5"/>
    <w:rsid w:val="000F26DD"/>
    <w:rsid w:val="000F4050"/>
    <w:rsid w:val="000F4AEA"/>
    <w:rsid w:val="000F661C"/>
    <w:rsid w:val="000F67E9"/>
    <w:rsid w:val="000F79E6"/>
    <w:rsid w:val="00100181"/>
    <w:rsid w:val="00104655"/>
    <w:rsid w:val="00104926"/>
    <w:rsid w:val="001071C7"/>
    <w:rsid w:val="00107BB3"/>
    <w:rsid w:val="001115E9"/>
    <w:rsid w:val="00111832"/>
    <w:rsid w:val="00113B1E"/>
    <w:rsid w:val="00114C82"/>
    <w:rsid w:val="00114E23"/>
    <w:rsid w:val="0011711C"/>
    <w:rsid w:val="00117808"/>
    <w:rsid w:val="00122983"/>
    <w:rsid w:val="00122C01"/>
    <w:rsid w:val="00124902"/>
    <w:rsid w:val="00124E4F"/>
    <w:rsid w:val="001260B7"/>
    <w:rsid w:val="001265CB"/>
    <w:rsid w:val="00130C0E"/>
    <w:rsid w:val="001321C6"/>
    <w:rsid w:val="001325C4"/>
    <w:rsid w:val="00133010"/>
    <w:rsid w:val="001338EE"/>
    <w:rsid w:val="00133AAE"/>
    <w:rsid w:val="00135323"/>
    <w:rsid w:val="001356C4"/>
    <w:rsid w:val="00136626"/>
    <w:rsid w:val="00137565"/>
    <w:rsid w:val="00141114"/>
    <w:rsid w:val="00142303"/>
    <w:rsid w:val="00142969"/>
    <w:rsid w:val="001446C2"/>
    <w:rsid w:val="001457E7"/>
    <w:rsid w:val="00145D9D"/>
    <w:rsid w:val="00146388"/>
    <w:rsid w:val="001464AF"/>
    <w:rsid w:val="00147714"/>
    <w:rsid w:val="0015045A"/>
    <w:rsid w:val="00151815"/>
    <w:rsid w:val="001529E5"/>
    <w:rsid w:val="001529FC"/>
    <w:rsid w:val="00152FB3"/>
    <w:rsid w:val="00153C7E"/>
    <w:rsid w:val="00156B25"/>
    <w:rsid w:val="00156E1A"/>
    <w:rsid w:val="00157894"/>
    <w:rsid w:val="00157B55"/>
    <w:rsid w:val="0016001F"/>
    <w:rsid w:val="001642FA"/>
    <w:rsid w:val="001649EB"/>
    <w:rsid w:val="00164BAF"/>
    <w:rsid w:val="00164EE9"/>
    <w:rsid w:val="00164FA8"/>
    <w:rsid w:val="00165065"/>
    <w:rsid w:val="00165434"/>
    <w:rsid w:val="0016580B"/>
    <w:rsid w:val="00165DD0"/>
    <w:rsid w:val="00165F49"/>
    <w:rsid w:val="00166B88"/>
    <w:rsid w:val="0016770A"/>
    <w:rsid w:val="00170804"/>
    <w:rsid w:val="001708E9"/>
    <w:rsid w:val="00171C5A"/>
    <w:rsid w:val="00172116"/>
    <w:rsid w:val="0017340B"/>
    <w:rsid w:val="00173FB1"/>
    <w:rsid w:val="00176377"/>
    <w:rsid w:val="00176DFD"/>
    <w:rsid w:val="0018327F"/>
    <w:rsid w:val="001852C9"/>
    <w:rsid w:val="00187A0B"/>
    <w:rsid w:val="00187E15"/>
    <w:rsid w:val="00190087"/>
    <w:rsid w:val="001913C4"/>
    <w:rsid w:val="0019348F"/>
    <w:rsid w:val="00193A07"/>
    <w:rsid w:val="00194C95"/>
    <w:rsid w:val="00195C34"/>
    <w:rsid w:val="00196EF5"/>
    <w:rsid w:val="001A1A53"/>
    <w:rsid w:val="001A234A"/>
    <w:rsid w:val="001A3C72"/>
    <w:rsid w:val="001A4CF3"/>
    <w:rsid w:val="001A6696"/>
    <w:rsid w:val="001A72E2"/>
    <w:rsid w:val="001B06E8"/>
    <w:rsid w:val="001B6749"/>
    <w:rsid w:val="001B71D0"/>
    <w:rsid w:val="001B71EE"/>
    <w:rsid w:val="001C04A8"/>
    <w:rsid w:val="001C2C03"/>
    <w:rsid w:val="001C3C81"/>
    <w:rsid w:val="001C42F7"/>
    <w:rsid w:val="001C49E5"/>
    <w:rsid w:val="001C680C"/>
    <w:rsid w:val="001C7FEA"/>
    <w:rsid w:val="001D0499"/>
    <w:rsid w:val="001D0BBE"/>
    <w:rsid w:val="001D0ED4"/>
    <w:rsid w:val="001D1309"/>
    <w:rsid w:val="001D212F"/>
    <w:rsid w:val="001D29D7"/>
    <w:rsid w:val="001D2DE7"/>
    <w:rsid w:val="001D411C"/>
    <w:rsid w:val="001D7165"/>
    <w:rsid w:val="001E011B"/>
    <w:rsid w:val="001E0CDD"/>
    <w:rsid w:val="001E1B6A"/>
    <w:rsid w:val="001E2484"/>
    <w:rsid w:val="001E3CC4"/>
    <w:rsid w:val="001E4882"/>
    <w:rsid w:val="001E4BF9"/>
    <w:rsid w:val="001E516B"/>
    <w:rsid w:val="001E73AB"/>
    <w:rsid w:val="001F092D"/>
    <w:rsid w:val="001F1399"/>
    <w:rsid w:val="001F143A"/>
    <w:rsid w:val="001F1605"/>
    <w:rsid w:val="001F2508"/>
    <w:rsid w:val="001F2E18"/>
    <w:rsid w:val="001F4816"/>
    <w:rsid w:val="001F67A4"/>
    <w:rsid w:val="001F69B4"/>
    <w:rsid w:val="001F6E5E"/>
    <w:rsid w:val="001F77C7"/>
    <w:rsid w:val="00200183"/>
    <w:rsid w:val="00200333"/>
    <w:rsid w:val="00200EB1"/>
    <w:rsid w:val="0020107D"/>
    <w:rsid w:val="00202454"/>
    <w:rsid w:val="00202AA4"/>
    <w:rsid w:val="002031F7"/>
    <w:rsid w:val="002040E6"/>
    <w:rsid w:val="0020527B"/>
    <w:rsid w:val="00205F2C"/>
    <w:rsid w:val="00210B15"/>
    <w:rsid w:val="002112C7"/>
    <w:rsid w:val="002117DC"/>
    <w:rsid w:val="00211D3A"/>
    <w:rsid w:val="002142EA"/>
    <w:rsid w:val="002149EB"/>
    <w:rsid w:val="00215ADD"/>
    <w:rsid w:val="002204BB"/>
    <w:rsid w:val="00221B79"/>
    <w:rsid w:val="00221C6B"/>
    <w:rsid w:val="00224D4D"/>
    <w:rsid w:val="002253A1"/>
    <w:rsid w:val="00225CF8"/>
    <w:rsid w:val="0022794E"/>
    <w:rsid w:val="00233D64"/>
    <w:rsid w:val="0023482A"/>
    <w:rsid w:val="002359CB"/>
    <w:rsid w:val="00237009"/>
    <w:rsid w:val="0024024F"/>
    <w:rsid w:val="00240FFE"/>
    <w:rsid w:val="00242AC4"/>
    <w:rsid w:val="00243540"/>
    <w:rsid w:val="0024497B"/>
    <w:rsid w:val="0024497F"/>
    <w:rsid w:val="0024515B"/>
    <w:rsid w:val="00245472"/>
    <w:rsid w:val="00246021"/>
    <w:rsid w:val="00246440"/>
    <w:rsid w:val="0024666E"/>
    <w:rsid w:val="00247F52"/>
    <w:rsid w:val="00250B25"/>
    <w:rsid w:val="00250BBE"/>
    <w:rsid w:val="002515C2"/>
    <w:rsid w:val="0025194F"/>
    <w:rsid w:val="002548B3"/>
    <w:rsid w:val="00254F94"/>
    <w:rsid w:val="0026148A"/>
    <w:rsid w:val="00262696"/>
    <w:rsid w:val="00263D25"/>
    <w:rsid w:val="002643C3"/>
    <w:rsid w:val="00264A0C"/>
    <w:rsid w:val="00265422"/>
    <w:rsid w:val="00266EEB"/>
    <w:rsid w:val="00267EF4"/>
    <w:rsid w:val="00270CB8"/>
    <w:rsid w:val="00272B08"/>
    <w:rsid w:val="002730F7"/>
    <w:rsid w:val="00280B01"/>
    <w:rsid w:val="00281BB8"/>
    <w:rsid w:val="00281E9E"/>
    <w:rsid w:val="00282405"/>
    <w:rsid w:val="00283043"/>
    <w:rsid w:val="00283ACE"/>
    <w:rsid w:val="00285170"/>
    <w:rsid w:val="00285361"/>
    <w:rsid w:val="002903E7"/>
    <w:rsid w:val="00292D60"/>
    <w:rsid w:val="0029392B"/>
    <w:rsid w:val="00293B30"/>
    <w:rsid w:val="00294D34"/>
    <w:rsid w:val="00294E3B"/>
    <w:rsid w:val="00296193"/>
    <w:rsid w:val="00296C66"/>
    <w:rsid w:val="00296EBE"/>
    <w:rsid w:val="002974E3"/>
    <w:rsid w:val="00297719"/>
    <w:rsid w:val="002A003C"/>
    <w:rsid w:val="002A084B"/>
    <w:rsid w:val="002A0A27"/>
    <w:rsid w:val="002A1260"/>
    <w:rsid w:val="002A1589"/>
    <w:rsid w:val="002A1608"/>
    <w:rsid w:val="002A25DC"/>
    <w:rsid w:val="002A3AAB"/>
    <w:rsid w:val="002A4CEA"/>
    <w:rsid w:val="002A5297"/>
    <w:rsid w:val="002A5977"/>
    <w:rsid w:val="002A5A13"/>
    <w:rsid w:val="002A757F"/>
    <w:rsid w:val="002A7F44"/>
    <w:rsid w:val="002B0C40"/>
    <w:rsid w:val="002B1966"/>
    <w:rsid w:val="002B2F9D"/>
    <w:rsid w:val="002B4508"/>
    <w:rsid w:val="002B4AB5"/>
    <w:rsid w:val="002B5779"/>
    <w:rsid w:val="002B71CC"/>
    <w:rsid w:val="002B7332"/>
    <w:rsid w:val="002B7604"/>
    <w:rsid w:val="002B7F51"/>
    <w:rsid w:val="002C09E7"/>
    <w:rsid w:val="002C1E06"/>
    <w:rsid w:val="002C1F4C"/>
    <w:rsid w:val="002C2B6D"/>
    <w:rsid w:val="002C36CA"/>
    <w:rsid w:val="002C3F07"/>
    <w:rsid w:val="002C5278"/>
    <w:rsid w:val="002C7EBB"/>
    <w:rsid w:val="002D0611"/>
    <w:rsid w:val="002D06C1"/>
    <w:rsid w:val="002D090C"/>
    <w:rsid w:val="002D2B56"/>
    <w:rsid w:val="002D3A58"/>
    <w:rsid w:val="002D42B5"/>
    <w:rsid w:val="002D4F1A"/>
    <w:rsid w:val="002D6EC6"/>
    <w:rsid w:val="002D79AC"/>
    <w:rsid w:val="002E039D"/>
    <w:rsid w:val="002E4D5A"/>
    <w:rsid w:val="002E6326"/>
    <w:rsid w:val="002F0DBE"/>
    <w:rsid w:val="002F30E0"/>
    <w:rsid w:val="002F33AC"/>
    <w:rsid w:val="002F35E4"/>
    <w:rsid w:val="002F3730"/>
    <w:rsid w:val="002F38E1"/>
    <w:rsid w:val="002F7AF6"/>
    <w:rsid w:val="00300E63"/>
    <w:rsid w:val="003028A5"/>
    <w:rsid w:val="00302F5F"/>
    <w:rsid w:val="0030441D"/>
    <w:rsid w:val="00306063"/>
    <w:rsid w:val="00311F1F"/>
    <w:rsid w:val="00313B85"/>
    <w:rsid w:val="00317988"/>
    <w:rsid w:val="003221B4"/>
    <w:rsid w:val="0032258D"/>
    <w:rsid w:val="00322E62"/>
    <w:rsid w:val="00324D13"/>
    <w:rsid w:val="00324EB6"/>
    <w:rsid w:val="00324EDD"/>
    <w:rsid w:val="00330724"/>
    <w:rsid w:val="003325FB"/>
    <w:rsid w:val="003331E4"/>
    <w:rsid w:val="00336C64"/>
    <w:rsid w:val="00337162"/>
    <w:rsid w:val="0034194F"/>
    <w:rsid w:val="00344422"/>
    <w:rsid w:val="00344605"/>
    <w:rsid w:val="003459BD"/>
    <w:rsid w:val="00346985"/>
    <w:rsid w:val="003474AA"/>
    <w:rsid w:val="00350D1D"/>
    <w:rsid w:val="00352C83"/>
    <w:rsid w:val="00352F1A"/>
    <w:rsid w:val="003565CA"/>
    <w:rsid w:val="003570EE"/>
    <w:rsid w:val="00360434"/>
    <w:rsid w:val="0036107C"/>
    <w:rsid w:val="003615D2"/>
    <w:rsid w:val="00361CE9"/>
    <w:rsid w:val="003639B2"/>
    <w:rsid w:val="0036429C"/>
    <w:rsid w:val="00364A53"/>
    <w:rsid w:val="003654CB"/>
    <w:rsid w:val="00365AA9"/>
    <w:rsid w:val="00365B4F"/>
    <w:rsid w:val="00365F86"/>
    <w:rsid w:val="00365F87"/>
    <w:rsid w:val="00366D21"/>
    <w:rsid w:val="00366E89"/>
    <w:rsid w:val="003705F4"/>
    <w:rsid w:val="00370D58"/>
    <w:rsid w:val="00371299"/>
    <w:rsid w:val="00371316"/>
    <w:rsid w:val="00372046"/>
    <w:rsid w:val="003757F2"/>
    <w:rsid w:val="00376713"/>
    <w:rsid w:val="00381815"/>
    <w:rsid w:val="003819AF"/>
    <w:rsid w:val="003820E9"/>
    <w:rsid w:val="00382DE7"/>
    <w:rsid w:val="003845AB"/>
    <w:rsid w:val="00384FFC"/>
    <w:rsid w:val="00385488"/>
    <w:rsid w:val="00386132"/>
    <w:rsid w:val="00386475"/>
    <w:rsid w:val="003872FC"/>
    <w:rsid w:val="003877E8"/>
    <w:rsid w:val="00387ADC"/>
    <w:rsid w:val="00390020"/>
    <w:rsid w:val="003903D6"/>
    <w:rsid w:val="00390EE6"/>
    <w:rsid w:val="0039118F"/>
    <w:rsid w:val="00392AD7"/>
    <w:rsid w:val="00392C0D"/>
    <w:rsid w:val="00392E96"/>
    <w:rsid w:val="003938D9"/>
    <w:rsid w:val="00394376"/>
    <w:rsid w:val="003943FF"/>
    <w:rsid w:val="003974EB"/>
    <w:rsid w:val="00397CC5"/>
    <w:rsid w:val="003A1582"/>
    <w:rsid w:val="003A27E2"/>
    <w:rsid w:val="003A3B5B"/>
    <w:rsid w:val="003A3D9C"/>
    <w:rsid w:val="003A4077"/>
    <w:rsid w:val="003A48D6"/>
    <w:rsid w:val="003A4AA7"/>
    <w:rsid w:val="003B09AD"/>
    <w:rsid w:val="003B1F18"/>
    <w:rsid w:val="003B5BF0"/>
    <w:rsid w:val="003B60BF"/>
    <w:rsid w:val="003B6BE3"/>
    <w:rsid w:val="003B7AB8"/>
    <w:rsid w:val="003C010C"/>
    <w:rsid w:val="003C0A6C"/>
    <w:rsid w:val="003C14F8"/>
    <w:rsid w:val="003C26DF"/>
    <w:rsid w:val="003C34B5"/>
    <w:rsid w:val="003C5A43"/>
    <w:rsid w:val="003D0519"/>
    <w:rsid w:val="003D0FF6"/>
    <w:rsid w:val="003D262C"/>
    <w:rsid w:val="003D32EC"/>
    <w:rsid w:val="003D6D61"/>
    <w:rsid w:val="003D70EB"/>
    <w:rsid w:val="003D7809"/>
    <w:rsid w:val="003E091D"/>
    <w:rsid w:val="003E1239"/>
    <w:rsid w:val="003E1C53"/>
    <w:rsid w:val="003E2A69"/>
    <w:rsid w:val="003E2D49"/>
    <w:rsid w:val="003E2FD4"/>
    <w:rsid w:val="003E49F6"/>
    <w:rsid w:val="003E4F6C"/>
    <w:rsid w:val="003E4F8D"/>
    <w:rsid w:val="003E660F"/>
    <w:rsid w:val="003F0841"/>
    <w:rsid w:val="003F23D3"/>
    <w:rsid w:val="003F3F08"/>
    <w:rsid w:val="003F3F09"/>
    <w:rsid w:val="003F49F1"/>
    <w:rsid w:val="003F5221"/>
    <w:rsid w:val="003F5DF5"/>
    <w:rsid w:val="003F6272"/>
    <w:rsid w:val="003F789E"/>
    <w:rsid w:val="00400E72"/>
    <w:rsid w:val="00401400"/>
    <w:rsid w:val="0040290D"/>
    <w:rsid w:val="00404869"/>
    <w:rsid w:val="00405884"/>
    <w:rsid w:val="00405BE7"/>
    <w:rsid w:val="00406B69"/>
    <w:rsid w:val="00407D39"/>
    <w:rsid w:val="0041369B"/>
    <w:rsid w:val="0041477A"/>
    <w:rsid w:val="004167A3"/>
    <w:rsid w:val="00425AE9"/>
    <w:rsid w:val="004269DD"/>
    <w:rsid w:val="004300A0"/>
    <w:rsid w:val="004322F3"/>
    <w:rsid w:val="00432DAA"/>
    <w:rsid w:val="00434305"/>
    <w:rsid w:val="00435DF7"/>
    <w:rsid w:val="004364CB"/>
    <w:rsid w:val="004366E3"/>
    <w:rsid w:val="0044083F"/>
    <w:rsid w:val="0044142E"/>
    <w:rsid w:val="00441AE7"/>
    <w:rsid w:val="00441F5E"/>
    <w:rsid w:val="00442741"/>
    <w:rsid w:val="004452D4"/>
    <w:rsid w:val="00445574"/>
    <w:rsid w:val="004467FB"/>
    <w:rsid w:val="00447F7D"/>
    <w:rsid w:val="004501BC"/>
    <w:rsid w:val="004507F8"/>
    <w:rsid w:val="00452933"/>
    <w:rsid w:val="00452D6B"/>
    <w:rsid w:val="00453318"/>
    <w:rsid w:val="00454484"/>
    <w:rsid w:val="004545B3"/>
    <w:rsid w:val="0045517B"/>
    <w:rsid w:val="004552ED"/>
    <w:rsid w:val="00461993"/>
    <w:rsid w:val="004636C3"/>
    <w:rsid w:val="00463B77"/>
    <w:rsid w:val="00463C7B"/>
    <w:rsid w:val="004644A6"/>
    <w:rsid w:val="004659BD"/>
    <w:rsid w:val="00466508"/>
    <w:rsid w:val="00467486"/>
    <w:rsid w:val="00470424"/>
    <w:rsid w:val="00470775"/>
    <w:rsid w:val="004724DF"/>
    <w:rsid w:val="00473209"/>
    <w:rsid w:val="004746B1"/>
    <w:rsid w:val="0047583F"/>
    <w:rsid w:val="00475DE8"/>
    <w:rsid w:val="00481297"/>
    <w:rsid w:val="00481C44"/>
    <w:rsid w:val="004821BC"/>
    <w:rsid w:val="0048307C"/>
    <w:rsid w:val="004837C4"/>
    <w:rsid w:val="00484613"/>
    <w:rsid w:val="00484936"/>
    <w:rsid w:val="00485C89"/>
    <w:rsid w:val="00485EC1"/>
    <w:rsid w:val="00486BE3"/>
    <w:rsid w:val="004905E4"/>
    <w:rsid w:val="00490A89"/>
    <w:rsid w:val="00490AB4"/>
    <w:rsid w:val="00492AD2"/>
    <w:rsid w:val="00492F02"/>
    <w:rsid w:val="004939AE"/>
    <w:rsid w:val="00493AF9"/>
    <w:rsid w:val="004A12DF"/>
    <w:rsid w:val="004A1BA8"/>
    <w:rsid w:val="004A2A7B"/>
    <w:rsid w:val="004A41BC"/>
    <w:rsid w:val="004A4B57"/>
    <w:rsid w:val="004A5E9E"/>
    <w:rsid w:val="004A63FA"/>
    <w:rsid w:val="004A6A3D"/>
    <w:rsid w:val="004B0272"/>
    <w:rsid w:val="004B145C"/>
    <w:rsid w:val="004B2701"/>
    <w:rsid w:val="004B2E1B"/>
    <w:rsid w:val="004B348A"/>
    <w:rsid w:val="004B38A1"/>
    <w:rsid w:val="004B3AA8"/>
    <w:rsid w:val="004B3E93"/>
    <w:rsid w:val="004B41DC"/>
    <w:rsid w:val="004B57C3"/>
    <w:rsid w:val="004B7083"/>
    <w:rsid w:val="004B727E"/>
    <w:rsid w:val="004C08E0"/>
    <w:rsid w:val="004C1FBC"/>
    <w:rsid w:val="004C25A2"/>
    <w:rsid w:val="004C3EDC"/>
    <w:rsid w:val="004C3F1D"/>
    <w:rsid w:val="004C458D"/>
    <w:rsid w:val="004C50E9"/>
    <w:rsid w:val="004C57C7"/>
    <w:rsid w:val="004C7556"/>
    <w:rsid w:val="004C7E8B"/>
    <w:rsid w:val="004C7E9D"/>
    <w:rsid w:val="004C7F67"/>
    <w:rsid w:val="004D076D"/>
    <w:rsid w:val="004D0EF1"/>
    <w:rsid w:val="004D20F1"/>
    <w:rsid w:val="004D2253"/>
    <w:rsid w:val="004D4406"/>
    <w:rsid w:val="004D4AF1"/>
    <w:rsid w:val="004D7C42"/>
    <w:rsid w:val="004E0465"/>
    <w:rsid w:val="004E0C98"/>
    <w:rsid w:val="004E127B"/>
    <w:rsid w:val="004E1C0A"/>
    <w:rsid w:val="004E1F18"/>
    <w:rsid w:val="004E30C5"/>
    <w:rsid w:val="004E4AA5"/>
    <w:rsid w:val="004E4AEE"/>
    <w:rsid w:val="004E590C"/>
    <w:rsid w:val="004E59E3"/>
    <w:rsid w:val="004E67C0"/>
    <w:rsid w:val="004F391A"/>
    <w:rsid w:val="004F3CFB"/>
    <w:rsid w:val="004F4140"/>
    <w:rsid w:val="004F6456"/>
    <w:rsid w:val="004F696E"/>
    <w:rsid w:val="004F6C71"/>
    <w:rsid w:val="00500791"/>
    <w:rsid w:val="00501139"/>
    <w:rsid w:val="00502529"/>
    <w:rsid w:val="00503457"/>
    <w:rsid w:val="0050363E"/>
    <w:rsid w:val="005039BC"/>
    <w:rsid w:val="005043BB"/>
    <w:rsid w:val="00504A3D"/>
    <w:rsid w:val="00505767"/>
    <w:rsid w:val="005073F0"/>
    <w:rsid w:val="00507F95"/>
    <w:rsid w:val="00510A7B"/>
    <w:rsid w:val="00510C66"/>
    <w:rsid w:val="00512286"/>
    <w:rsid w:val="00512649"/>
    <w:rsid w:val="005126C1"/>
    <w:rsid w:val="00512F6E"/>
    <w:rsid w:val="00513038"/>
    <w:rsid w:val="00514174"/>
    <w:rsid w:val="00514F31"/>
    <w:rsid w:val="00516088"/>
    <w:rsid w:val="00516B0B"/>
    <w:rsid w:val="00521E08"/>
    <w:rsid w:val="0052201A"/>
    <w:rsid w:val="005220EC"/>
    <w:rsid w:val="00522505"/>
    <w:rsid w:val="005228EA"/>
    <w:rsid w:val="00523F95"/>
    <w:rsid w:val="00524D65"/>
    <w:rsid w:val="00525B16"/>
    <w:rsid w:val="005307D0"/>
    <w:rsid w:val="00532B26"/>
    <w:rsid w:val="00533D04"/>
    <w:rsid w:val="0053469C"/>
    <w:rsid w:val="00534804"/>
    <w:rsid w:val="0053488E"/>
    <w:rsid w:val="00534BDF"/>
    <w:rsid w:val="00535160"/>
    <w:rsid w:val="005352D3"/>
    <w:rsid w:val="005354EA"/>
    <w:rsid w:val="0053585F"/>
    <w:rsid w:val="00535EC4"/>
    <w:rsid w:val="00535ED9"/>
    <w:rsid w:val="0053692B"/>
    <w:rsid w:val="00540AF6"/>
    <w:rsid w:val="00541853"/>
    <w:rsid w:val="00543236"/>
    <w:rsid w:val="00543BDA"/>
    <w:rsid w:val="005441CC"/>
    <w:rsid w:val="005460D9"/>
    <w:rsid w:val="005473C8"/>
    <w:rsid w:val="005479DA"/>
    <w:rsid w:val="00547A5C"/>
    <w:rsid w:val="00547B55"/>
    <w:rsid w:val="00547BCC"/>
    <w:rsid w:val="0055013B"/>
    <w:rsid w:val="00551F6F"/>
    <w:rsid w:val="00553F82"/>
    <w:rsid w:val="00555044"/>
    <w:rsid w:val="005569D7"/>
    <w:rsid w:val="00561475"/>
    <w:rsid w:val="00562308"/>
    <w:rsid w:val="00564739"/>
    <w:rsid w:val="0056487B"/>
    <w:rsid w:val="00564FB9"/>
    <w:rsid w:val="00567EE7"/>
    <w:rsid w:val="00573D9E"/>
    <w:rsid w:val="00574E22"/>
    <w:rsid w:val="00575D64"/>
    <w:rsid w:val="005801E3"/>
    <w:rsid w:val="005806E8"/>
    <w:rsid w:val="0058080B"/>
    <w:rsid w:val="00581802"/>
    <w:rsid w:val="005836A8"/>
    <w:rsid w:val="00583F4E"/>
    <w:rsid w:val="0058409C"/>
    <w:rsid w:val="00584262"/>
    <w:rsid w:val="00585B8C"/>
    <w:rsid w:val="00586630"/>
    <w:rsid w:val="00587ADD"/>
    <w:rsid w:val="00593A49"/>
    <w:rsid w:val="00594F79"/>
    <w:rsid w:val="00596160"/>
    <w:rsid w:val="005966E2"/>
    <w:rsid w:val="00597007"/>
    <w:rsid w:val="005A0966"/>
    <w:rsid w:val="005A11B7"/>
    <w:rsid w:val="005A1A13"/>
    <w:rsid w:val="005A260B"/>
    <w:rsid w:val="005A2B4F"/>
    <w:rsid w:val="005A2ED2"/>
    <w:rsid w:val="005A4A1B"/>
    <w:rsid w:val="005A53EE"/>
    <w:rsid w:val="005A7273"/>
    <w:rsid w:val="005A7830"/>
    <w:rsid w:val="005A7FCE"/>
    <w:rsid w:val="005B0F3F"/>
    <w:rsid w:val="005B191C"/>
    <w:rsid w:val="005B1BE1"/>
    <w:rsid w:val="005B1FAE"/>
    <w:rsid w:val="005B3468"/>
    <w:rsid w:val="005B4903"/>
    <w:rsid w:val="005B51CE"/>
    <w:rsid w:val="005B5885"/>
    <w:rsid w:val="005B5CD7"/>
    <w:rsid w:val="005B6CF6"/>
    <w:rsid w:val="005B7422"/>
    <w:rsid w:val="005B7FEA"/>
    <w:rsid w:val="005C186A"/>
    <w:rsid w:val="005C29B8"/>
    <w:rsid w:val="005C5F21"/>
    <w:rsid w:val="005C667F"/>
    <w:rsid w:val="005C7156"/>
    <w:rsid w:val="005D0C75"/>
    <w:rsid w:val="005D0F41"/>
    <w:rsid w:val="005D3911"/>
    <w:rsid w:val="005D3961"/>
    <w:rsid w:val="005D4171"/>
    <w:rsid w:val="005D452D"/>
    <w:rsid w:val="005D517A"/>
    <w:rsid w:val="005D6A95"/>
    <w:rsid w:val="005D6B2C"/>
    <w:rsid w:val="005D6D9C"/>
    <w:rsid w:val="005D7A74"/>
    <w:rsid w:val="005E1255"/>
    <w:rsid w:val="005E2335"/>
    <w:rsid w:val="005E34CA"/>
    <w:rsid w:val="005E3C18"/>
    <w:rsid w:val="005E4250"/>
    <w:rsid w:val="005E6812"/>
    <w:rsid w:val="005E7881"/>
    <w:rsid w:val="005E78E0"/>
    <w:rsid w:val="005F0D9C"/>
    <w:rsid w:val="005F1130"/>
    <w:rsid w:val="005F1A34"/>
    <w:rsid w:val="005F284E"/>
    <w:rsid w:val="005F2B33"/>
    <w:rsid w:val="005F3677"/>
    <w:rsid w:val="005F4AE6"/>
    <w:rsid w:val="005F542E"/>
    <w:rsid w:val="005F611D"/>
    <w:rsid w:val="006015CE"/>
    <w:rsid w:val="0060458C"/>
    <w:rsid w:val="00604784"/>
    <w:rsid w:val="00606419"/>
    <w:rsid w:val="00607341"/>
    <w:rsid w:val="00607D29"/>
    <w:rsid w:val="00612248"/>
    <w:rsid w:val="00612952"/>
    <w:rsid w:val="00614CC1"/>
    <w:rsid w:val="00615A9D"/>
    <w:rsid w:val="006163BA"/>
    <w:rsid w:val="00617387"/>
    <w:rsid w:val="006205D6"/>
    <w:rsid w:val="006210B0"/>
    <w:rsid w:val="006246F6"/>
    <w:rsid w:val="006252BC"/>
    <w:rsid w:val="006252D8"/>
    <w:rsid w:val="006257B0"/>
    <w:rsid w:val="006259BC"/>
    <w:rsid w:val="0062636B"/>
    <w:rsid w:val="00632182"/>
    <w:rsid w:val="00632AE0"/>
    <w:rsid w:val="00633C17"/>
    <w:rsid w:val="00634D9E"/>
    <w:rsid w:val="00636E3E"/>
    <w:rsid w:val="006379F7"/>
    <w:rsid w:val="00637E4D"/>
    <w:rsid w:val="00640620"/>
    <w:rsid w:val="00641A1F"/>
    <w:rsid w:val="00643A0F"/>
    <w:rsid w:val="00645904"/>
    <w:rsid w:val="00650891"/>
    <w:rsid w:val="00650DF8"/>
    <w:rsid w:val="00651ACB"/>
    <w:rsid w:val="00651C47"/>
    <w:rsid w:val="00652AB2"/>
    <w:rsid w:val="00653FED"/>
    <w:rsid w:val="00654EC0"/>
    <w:rsid w:val="0065525B"/>
    <w:rsid w:val="00655D4F"/>
    <w:rsid w:val="00656D29"/>
    <w:rsid w:val="0066162C"/>
    <w:rsid w:val="00661723"/>
    <w:rsid w:val="006623FD"/>
    <w:rsid w:val="00662CD6"/>
    <w:rsid w:val="006638D2"/>
    <w:rsid w:val="006640E5"/>
    <w:rsid w:val="006646F1"/>
    <w:rsid w:val="00664929"/>
    <w:rsid w:val="00664F62"/>
    <w:rsid w:val="006655E1"/>
    <w:rsid w:val="00666280"/>
    <w:rsid w:val="00672060"/>
    <w:rsid w:val="00672BFD"/>
    <w:rsid w:val="006750DE"/>
    <w:rsid w:val="00675696"/>
    <w:rsid w:val="006770F4"/>
    <w:rsid w:val="00677A84"/>
    <w:rsid w:val="0068026D"/>
    <w:rsid w:val="00680A27"/>
    <w:rsid w:val="006816A4"/>
    <w:rsid w:val="006819B8"/>
    <w:rsid w:val="006840A6"/>
    <w:rsid w:val="006850CD"/>
    <w:rsid w:val="00685AAB"/>
    <w:rsid w:val="00692FAB"/>
    <w:rsid w:val="006930E2"/>
    <w:rsid w:val="00693DEF"/>
    <w:rsid w:val="00694624"/>
    <w:rsid w:val="00694A18"/>
    <w:rsid w:val="00696948"/>
    <w:rsid w:val="006A07AA"/>
    <w:rsid w:val="006A25E5"/>
    <w:rsid w:val="006A2B46"/>
    <w:rsid w:val="006A336D"/>
    <w:rsid w:val="006A37B9"/>
    <w:rsid w:val="006A7D4F"/>
    <w:rsid w:val="006B2672"/>
    <w:rsid w:val="006B2C70"/>
    <w:rsid w:val="006B54BF"/>
    <w:rsid w:val="006B5F44"/>
    <w:rsid w:val="006B5F90"/>
    <w:rsid w:val="006B62E4"/>
    <w:rsid w:val="006B72E7"/>
    <w:rsid w:val="006C1BBA"/>
    <w:rsid w:val="006C2079"/>
    <w:rsid w:val="006C2526"/>
    <w:rsid w:val="006C2BCC"/>
    <w:rsid w:val="006C2F73"/>
    <w:rsid w:val="006C528D"/>
    <w:rsid w:val="006C58E4"/>
    <w:rsid w:val="006C5A62"/>
    <w:rsid w:val="006C5D68"/>
    <w:rsid w:val="006C6976"/>
    <w:rsid w:val="006C6DD0"/>
    <w:rsid w:val="006D04EA"/>
    <w:rsid w:val="006D0692"/>
    <w:rsid w:val="006D16C4"/>
    <w:rsid w:val="006D3AE6"/>
    <w:rsid w:val="006D3E96"/>
    <w:rsid w:val="006D4515"/>
    <w:rsid w:val="006D45D0"/>
    <w:rsid w:val="006D4BB1"/>
    <w:rsid w:val="006D617D"/>
    <w:rsid w:val="006D6593"/>
    <w:rsid w:val="006E0F84"/>
    <w:rsid w:val="006E17F5"/>
    <w:rsid w:val="006E7F01"/>
    <w:rsid w:val="006F03A8"/>
    <w:rsid w:val="006F07F8"/>
    <w:rsid w:val="006F2ACA"/>
    <w:rsid w:val="006F2ADC"/>
    <w:rsid w:val="006F2BFE"/>
    <w:rsid w:val="006F31E9"/>
    <w:rsid w:val="006F3599"/>
    <w:rsid w:val="006F4041"/>
    <w:rsid w:val="006F6284"/>
    <w:rsid w:val="007002C5"/>
    <w:rsid w:val="007010F3"/>
    <w:rsid w:val="0070284C"/>
    <w:rsid w:val="007035CD"/>
    <w:rsid w:val="00704387"/>
    <w:rsid w:val="00705BF0"/>
    <w:rsid w:val="00707669"/>
    <w:rsid w:val="00710FAB"/>
    <w:rsid w:val="00711CBA"/>
    <w:rsid w:val="00711FB5"/>
    <w:rsid w:val="007125B1"/>
    <w:rsid w:val="00712A01"/>
    <w:rsid w:val="00714F58"/>
    <w:rsid w:val="00716805"/>
    <w:rsid w:val="00720487"/>
    <w:rsid w:val="00722FBF"/>
    <w:rsid w:val="00722FC2"/>
    <w:rsid w:val="00724E1B"/>
    <w:rsid w:val="00724F73"/>
    <w:rsid w:val="00725949"/>
    <w:rsid w:val="00725DF0"/>
    <w:rsid w:val="007262FE"/>
    <w:rsid w:val="00727FA2"/>
    <w:rsid w:val="00731258"/>
    <w:rsid w:val="0073204C"/>
    <w:rsid w:val="00732228"/>
    <w:rsid w:val="007322D9"/>
    <w:rsid w:val="00732BC0"/>
    <w:rsid w:val="0073490F"/>
    <w:rsid w:val="0073720F"/>
    <w:rsid w:val="00737796"/>
    <w:rsid w:val="007407F6"/>
    <w:rsid w:val="0074165C"/>
    <w:rsid w:val="007421F7"/>
    <w:rsid w:val="00742C35"/>
    <w:rsid w:val="007432CA"/>
    <w:rsid w:val="007439EB"/>
    <w:rsid w:val="00743CB4"/>
    <w:rsid w:val="00743F0A"/>
    <w:rsid w:val="007444E8"/>
    <w:rsid w:val="0074548E"/>
    <w:rsid w:val="00745773"/>
    <w:rsid w:val="00746800"/>
    <w:rsid w:val="007501A8"/>
    <w:rsid w:val="00750D61"/>
    <w:rsid w:val="00750EE1"/>
    <w:rsid w:val="00752B4D"/>
    <w:rsid w:val="00754F72"/>
    <w:rsid w:val="00755402"/>
    <w:rsid w:val="00756B26"/>
    <w:rsid w:val="00756EDF"/>
    <w:rsid w:val="00757959"/>
    <w:rsid w:val="007600E3"/>
    <w:rsid w:val="007616C9"/>
    <w:rsid w:val="00762C95"/>
    <w:rsid w:val="00765C43"/>
    <w:rsid w:val="00765EFB"/>
    <w:rsid w:val="007667AD"/>
    <w:rsid w:val="007671CA"/>
    <w:rsid w:val="00767C61"/>
    <w:rsid w:val="0077008A"/>
    <w:rsid w:val="00770E59"/>
    <w:rsid w:val="007732F3"/>
    <w:rsid w:val="00773C1F"/>
    <w:rsid w:val="00774DA4"/>
    <w:rsid w:val="00775F85"/>
    <w:rsid w:val="00776599"/>
    <w:rsid w:val="00780CB7"/>
    <w:rsid w:val="0078114B"/>
    <w:rsid w:val="00781DD2"/>
    <w:rsid w:val="00783DB5"/>
    <w:rsid w:val="00783ECF"/>
    <w:rsid w:val="0078413A"/>
    <w:rsid w:val="00785C32"/>
    <w:rsid w:val="00787569"/>
    <w:rsid w:val="00792094"/>
    <w:rsid w:val="00792790"/>
    <w:rsid w:val="00793B81"/>
    <w:rsid w:val="0079409D"/>
    <w:rsid w:val="0079548A"/>
    <w:rsid w:val="007959E8"/>
    <w:rsid w:val="00795E9C"/>
    <w:rsid w:val="007A0521"/>
    <w:rsid w:val="007A0AED"/>
    <w:rsid w:val="007A0C46"/>
    <w:rsid w:val="007A1116"/>
    <w:rsid w:val="007A18F7"/>
    <w:rsid w:val="007A2783"/>
    <w:rsid w:val="007A2E12"/>
    <w:rsid w:val="007A3475"/>
    <w:rsid w:val="007A41C8"/>
    <w:rsid w:val="007A42E3"/>
    <w:rsid w:val="007A54CE"/>
    <w:rsid w:val="007A6FD9"/>
    <w:rsid w:val="007A71B7"/>
    <w:rsid w:val="007A748A"/>
    <w:rsid w:val="007A7FFA"/>
    <w:rsid w:val="007B04EB"/>
    <w:rsid w:val="007B0D4F"/>
    <w:rsid w:val="007B3AE8"/>
    <w:rsid w:val="007B5A3D"/>
    <w:rsid w:val="007B5B95"/>
    <w:rsid w:val="007B6032"/>
    <w:rsid w:val="007B68EA"/>
    <w:rsid w:val="007B7153"/>
    <w:rsid w:val="007B7453"/>
    <w:rsid w:val="007C2D89"/>
    <w:rsid w:val="007C3459"/>
    <w:rsid w:val="007C4593"/>
    <w:rsid w:val="007C5309"/>
    <w:rsid w:val="007C6069"/>
    <w:rsid w:val="007D06C4"/>
    <w:rsid w:val="007D1352"/>
    <w:rsid w:val="007D2508"/>
    <w:rsid w:val="007D346A"/>
    <w:rsid w:val="007D3B5E"/>
    <w:rsid w:val="007D4058"/>
    <w:rsid w:val="007D4D26"/>
    <w:rsid w:val="007D6518"/>
    <w:rsid w:val="007D76BD"/>
    <w:rsid w:val="007E0BF1"/>
    <w:rsid w:val="007F0ED8"/>
    <w:rsid w:val="007F0F63"/>
    <w:rsid w:val="007F1F7B"/>
    <w:rsid w:val="007F4F21"/>
    <w:rsid w:val="007F75CE"/>
    <w:rsid w:val="008006A8"/>
    <w:rsid w:val="0080110F"/>
    <w:rsid w:val="008013A4"/>
    <w:rsid w:val="008027CE"/>
    <w:rsid w:val="00802F42"/>
    <w:rsid w:val="00804383"/>
    <w:rsid w:val="00804BB7"/>
    <w:rsid w:val="00804D41"/>
    <w:rsid w:val="00806A7E"/>
    <w:rsid w:val="00806F81"/>
    <w:rsid w:val="00810257"/>
    <w:rsid w:val="008104F5"/>
    <w:rsid w:val="00811072"/>
    <w:rsid w:val="00811369"/>
    <w:rsid w:val="00814762"/>
    <w:rsid w:val="00815419"/>
    <w:rsid w:val="00815DCB"/>
    <w:rsid w:val="008163C8"/>
    <w:rsid w:val="008164A1"/>
    <w:rsid w:val="00817325"/>
    <w:rsid w:val="00817C91"/>
    <w:rsid w:val="008209E6"/>
    <w:rsid w:val="00821213"/>
    <w:rsid w:val="00821C54"/>
    <w:rsid w:val="00823303"/>
    <w:rsid w:val="008233B2"/>
    <w:rsid w:val="00823A9F"/>
    <w:rsid w:val="00823BDB"/>
    <w:rsid w:val="00823C45"/>
    <w:rsid w:val="00823C85"/>
    <w:rsid w:val="00825138"/>
    <w:rsid w:val="008269DD"/>
    <w:rsid w:val="00830621"/>
    <w:rsid w:val="0083348C"/>
    <w:rsid w:val="0083649F"/>
    <w:rsid w:val="0083669E"/>
    <w:rsid w:val="008373D3"/>
    <w:rsid w:val="00840617"/>
    <w:rsid w:val="00840F84"/>
    <w:rsid w:val="00842A47"/>
    <w:rsid w:val="00843BEF"/>
    <w:rsid w:val="00843C13"/>
    <w:rsid w:val="008454F8"/>
    <w:rsid w:val="008463C6"/>
    <w:rsid w:val="00847A03"/>
    <w:rsid w:val="008510EF"/>
    <w:rsid w:val="0085173A"/>
    <w:rsid w:val="00853D24"/>
    <w:rsid w:val="00857F06"/>
    <w:rsid w:val="008603CE"/>
    <w:rsid w:val="00860FC3"/>
    <w:rsid w:val="008620FC"/>
    <w:rsid w:val="008627A5"/>
    <w:rsid w:val="00863E05"/>
    <w:rsid w:val="00863E1E"/>
    <w:rsid w:val="0086525F"/>
    <w:rsid w:val="00865ACA"/>
    <w:rsid w:val="00865D28"/>
    <w:rsid w:val="00865F85"/>
    <w:rsid w:val="008671F2"/>
    <w:rsid w:val="00867C10"/>
    <w:rsid w:val="00870439"/>
    <w:rsid w:val="00870DA1"/>
    <w:rsid w:val="00871B77"/>
    <w:rsid w:val="00876155"/>
    <w:rsid w:val="00877C7F"/>
    <w:rsid w:val="0088291A"/>
    <w:rsid w:val="00883F93"/>
    <w:rsid w:val="00884DB3"/>
    <w:rsid w:val="00884E41"/>
    <w:rsid w:val="00885A9D"/>
    <w:rsid w:val="00886021"/>
    <w:rsid w:val="008864F6"/>
    <w:rsid w:val="0088791B"/>
    <w:rsid w:val="008901AC"/>
    <w:rsid w:val="0089049D"/>
    <w:rsid w:val="008928C9"/>
    <w:rsid w:val="00892996"/>
    <w:rsid w:val="008930CB"/>
    <w:rsid w:val="0089376C"/>
    <w:rsid w:val="008938DC"/>
    <w:rsid w:val="00893FD1"/>
    <w:rsid w:val="00894836"/>
    <w:rsid w:val="00895172"/>
    <w:rsid w:val="00895680"/>
    <w:rsid w:val="00896608"/>
    <w:rsid w:val="00896DFF"/>
    <w:rsid w:val="0089762C"/>
    <w:rsid w:val="00897756"/>
    <w:rsid w:val="008A173B"/>
    <w:rsid w:val="008A1893"/>
    <w:rsid w:val="008A466D"/>
    <w:rsid w:val="008A57E6"/>
    <w:rsid w:val="008A5E1F"/>
    <w:rsid w:val="008A6F81"/>
    <w:rsid w:val="008A769A"/>
    <w:rsid w:val="008B0C9C"/>
    <w:rsid w:val="008B166D"/>
    <w:rsid w:val="008B17F4"/>
    <w:rsid w:val="008B3615"/>
    <w:rsid w:val="008B4AC4"/>
    <w:rsid w:val="008B50C8"/>
    <w:rsid w:val="008B5281"/>
    <w:rsid w:val="008B7E05"/>
    <w:rsid w:val="008C110F"/>
    <w:rsid w:val="008C1797"/>
    <w:rsid w:val="008C219C"/>
    <w:rsid w:val="008C2677"/>
    <w:rsid w:val="008C27E4"/>
    <w:rsid w:val="008C475E"/>
    <w:rsid w:val="008C4BBF"/>
    <w:rsid w:val="008C619A"/>
    <w:rsid w:val="008D0CE8"/>
    <w:rsid w:val="008D2D1D"/>
    <w:rsid w:val="008D3278"/>
    <w:rsid w:val="008D3E35"/>
    <w:rsid w:val="008D453D"/>
    <w:rsid w:val="008D4B9D"/>
    <w:rsid w:val="008D53AD"/>
    <w:rsid w:val="008D562B"/>
    <w:rsid w:val="008D5733"/>
    <w:rsid w:val="008D591C"/>
    <w:rsid w:val="008D622B"/>
    <w:rsid w:val="008D666C"/>
    <w:rsid w:val="008D768A"/>
    <w:rsid w:val="008D7B54"/>
    <w:rsid w:val="008E0C9D"/>
    <w:rsid w:val="008E1648"/>
    <w:rsid w:val="008E1B3E"/>
    <w:rsid w:val="008E2319"/>
    <w:rsid w:val="008E4BB6"/>
    <w:rsid w:val="008E5518"/>
    <w:rsid w:val="008E65F8"/>
    <w:rsid w:val="008E6A84"/>
    <w:rsid w:val="008F05A0"/>
    <w:rsid w:val="008F0CDC"/>
    <w:rsid w:val="008F17A3"/>
    <w:rsid w:val="008F1ED3"/>
    <w:rsid w:val="008F4C29"/>
    <w:rsid w:val="008F70BD"/>
    <w:rsid w:val="008F788F"/>
    <w:rsid w:val="008F7EA2"/>
    <w:rsid w:val="00902722"/>
    <w:rsid w:val="009027BC"/>
    <w:rsid w:val="009045BD"/>
    <w:rsid w:val="009062E6"/>
    <w:rsid w:val="00911BE5"/>
    <w:rsid w:val="00913CA9"/>
    <w:rsid w:val="009145AE"/>
    <w:rsid w:val="009146CE"/>
    <w:rsid w:val="00914CA7"/>
    <w:rsid w:val="00915AAE"/>
    <w:rsid w:val="00915C3E"/>
    <w:rsid w:val="00915F48"/>
    <w:rsid w:val="009161A8"/>
    <w:rsid w:val="0092061A"/>
    <w:rsid w:val="00920899"/>
    <w:rsid w:val="0092243F"/>
    <w:rsid w:val="009245AE"/>
    <w:rsid w:val="009245F5"/>
    <w:rsid w:val="009249EC"/>
    <w:rsid w:val="00924D59"/>
    <w:rsid w:val="00925B1B"/>
    <w:rsid w:val="009273B3"/>
    <w:rsid w:val="009305B5"/>
    <w:rsid w:val="0093410B"/>
    <w:rsid w:val="009378DD"/>
    <w:rsid w:val="009429D5"/>
    <w:rsid w:val="00942BF1"/>
    <w:rsid w:val="00944C80"/>
    <w:rsid w:val="00945180"/>
    <w:rsid w:val="00945428"/>
    <w:rsid w:val="0094607B"/>
    <w:rsid w:val="0094607E"/>
    <w:rsid w:val="00946370"/>
    <w:rsid w:val="00947EDF"/>
    <w:rsid w:val="0095272D"/>
    <w:rsid w:val="00952791"/>
    <w:rsid w:val="00953604"/>
    <w:rsid w:val="0095496B"/>
    <w:rsid w:val="00960F1E"/>
    <w:rsid w:val="009610DC"/>
    <w:rsid w:val="00961490"/>
    <w:rsid w:val="00962A3B"/>
    <w:rsid w:val="0096381A"/>
    <w:rsid w:val="00965E04"/>
    <w:rsid w:val="009674AD"/>
    <w:rsid w:val="00970CDC"/>
    <w:rsid w:val="00974046"/>
    <w:rsid w:val="00975727"/>
    <w:rsid w:val="00977010"/>
    <w:rsid w:val="00977D02"/>
    <w:rsid w:val="00977EF3"/>
    <w:rsid w:val="00977FF9"/>
    <w:rsid w:val="009809BB"/>
    <w:rsid w:val="009828C7"/>
    <w:rsid w:val="0098364B"/>
    <w:rsid w:val="0098461F"/>
    <w:rsid w:val="0099003D"/>
    <w:rsid w:val="009911AF"/>
    <w:rsid w:val="00991212"/>
    <w:rsid w:val="00991875"/>
    <w:rsid w:val="00991F92"/>
    <w:rsid w:val="00992985"/>
    <w:rsid w:val="00993889"/>
    <w:rsid w:val="0099551B"/>
    <w:rsid w:val="00996BD2"/>
    <w:rsid w:val="00997BF1"/>
    <w:rsid w:val="009A089C"/>
    <w:rsid w:val="009A118E"/>
    <w:rsid w:val="009A21CD"/>
    <w:rsid w:val="009A278C"/>
    <w:rsid w:val="009A2BC2"/>
    <w:rsid w:val="009A42C1"/>
    <w:rsid w:val="009A42ED"/>
    <w:rsid w:val="009A5429"/>
    <w:rsid w:val="009A673B"/>
    <w:rsid w:val="009A70E8"/>
    <w:rsid w:val="009A72AD"/>
    <w:rsid w:val="009B09E0"/>
    <w:rsid w:val="009B0BC5"/>
    <w:rsid w:val="009B1247"/>
    <w:rsid w:val="009B1925"/>
    <w:rsid w:val="009B5A6A"/>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954"/>
    <w:rsid w:val="009E4A58"/>
    <w:rsid w:val="009E5A2D"/>
    <w:rsid w:val="009E5AB2"/>
    <w:rsid w:val="009E6219"/>
    <w:rsid w:val="009E6E31"/>
    <w:rsid w:val="009F00BD"/>
    <w:rsid w:val="009F03B3"/>
    <w:rsid w:val="00A0096C"/>
    <w:rsid w:val="00A01757"/>
    <w:rsid w:val="00A028C0"/>
    <w:rsid w:val="00A02BAE"/>
    <w:rsid w:val="00A0349C"/>
    <w:rsid w:val="00A0477A"/>
    <w:rsid w:val="00A06A6B"/>
    <w:rsid w:val="00A07E47"/>
    <w:rsid w:val="00A10E1C"/>
    <w:rsid w:val="00A129D0"/>
    <w:rsid w:val="00A12C33"/>
    <w:rsid w:val="00A138BA"/>
    <w:rsid w:val="00A14C8E"/>
    <w:rsid w:val="00A153D9"/>
    <w:rsid w:val="00A15486"/>
    <w:rsid w:val="00A15AFA"/>
    <w:rsid w:val="00A15F09"/>
    <w:rsid w:val="00A16017"/>
    <w:rsid w:val="00A169B6"/>
    <w:rsid w:val="00A21688"/>
    <w:rsid w:val="00A2271D"/>
    <w:rsid w:val="00A237D5"/>
    <w:rsid w:val="00A23B91"/>
    <w:rsid w:val="00A268F4"/>
    <w:rsid w:val="00A30565"/>
    <w:rsid w:val="00A30EFC"/>
    <w:rsid w:val="00A31984"/>
    <w:rsid w:val="00A32D73"/>
    <w:rsid w:val="00A3367B"/>
    <w:rsid w:val="00A3597D"/>
    <w:rsid w:val="00A36DD1"/>
    <w:rsid w:val="00A378CE"/>
    <w:rsid w:val="00A37E2F"/>
    <w:rsid w:val="00A4006C"/>
    <w:rsid w:val="00A40091"/>
    <w:rsid w:val="00A4030F"/>
    <w:rsid w:val="00A41C79"/>
    <w:rsid w:val="00A41CB5"/>
    <w:rsid w:val="00A42CDF"/>
    <w:rsid w:val="00A4452E"/>
    <w:rsid w:val="00A4472C"/>
    <w:rsid w:val="00A44E69"/>
    <w:rsid w:val="00A4650F"/>
    <w:rsid w:val="00A4661E"/>
    <w:rsid w:val="00A52D23"/>
    <w:rsid w:val="00A538AA"/>
    <w:rsid w:val="00A5464F"/>
    <w:rsid w:val="00A55BD6"/>
    <w:rsid w:val="00A55D50"/>
    <w:rsid w:val="00A57142"/>
    <w:rsid w:val="00A61256"/>
    <w:rsid w:val="00A63B98"/>
    <w:rsid w:val="00A648CD"/>
    <w:rsid w:val="00A6537A"/>
    <w:rsid w:val="00A66425"/>
    <w:rsid w:val="00A67866"/>
    <w:rsid w:val="00A704B5"/>
    <w:rsid w:val="00A70B07"/>
    <w:rsid w:val="00A723F8"/>
    <w:rsid w:val="00A77CCB"/>
    <w:rsid w:val="00A80994"/>
    <w:rsid w:val="00A83D8D"/>
    <w:rsid w:val="00A8446B"/>
    <w:rsid w:val="00A8473F"/>
    <w:rsid w:val="00A862D6"/>
    <w:rsid w:val="00A8715E"/>
    <w:rsid w:val="00A90801"/>
    <w:rsid w:val="00A928B6"/>
    <w:rsid w:val="00A9295B"/>
    <w:rsid w:val="00A93B09"/>
    <w:rsid w:val="00A9402C"/>
    <w:rsid w:val="00A952D7"/>
    <w:rsid w:val="00A963F7"/>
    <w:rsid w:val="00A96AD8"/>
    <w:rsid w:val="00AA052C"/>
    <w:rsid w:val="00AA1E45"/>
    <w:rsid w:val="00AA4286"/>
    <w:rsid w:val="00AA456B"/>
    <w:rsid w:val="00AA5669"/>
    <w:rsid w:val="00AA57F5"/>
    <w:rsid w:val="00AA672E"/>
    <w:rsid w:val="00AA6EC9"/>
    <w:rsid w:val="00AB179C"/>
    <w:rsid w:val="00AB1B66"/>
    <w:rsid w:val="00AB262A"/>
    <w:rsid w:val="00AB6309"/>
    <w:rsid w:val="00AB6C5F"/>
    <w:rsid w:val="00AB7129"/>
    <w:rsid w:val="00AC27A6"/>
    <w:rsid w:val="00AC30F7"/>
    <w:rsid w:val="00AC3A5A"/>
    <w:rsid w:val="00AC4D95"/>
    <w:rsid w:val="00AC5ADE"/>
    <w:rsid w:val="00AC5DF4"/>
    <w:rsid w:val="00AC6A06"/>
    <w:rsid w:val="00AC6A4F"/>
    <w:rsid w:val="00AC76D0"/>
    <w:rsid w:val="00AC7959"/>
    <w:rsid w:val="00AD0265"/>
    <w:rsid w:val="00AD0AEF"/>
    <w:rsid w:val="00AD11B7"/>
    <w:rsid w:val="00AD1A94"/>
    <w:rsid w:val="00AD1C05"/>
    <w:rsid w:val="00AD2620"/>
    <w:rsid w:val="00AD4126"/>
    <w:rsid w:val="00AD421C"/>
    <w:rsid w:val="00AD44FA"/>
    <w:rsid w:val="00AD4DBE"/>
    <w:rsid w:val="00AD5128"/>
    <w:rsid w:val="00AE070A"/>
    <w:rsid w:val="00AE0BC1"/>
    <w:rsid w:val="00AE101C"/>
    <w:rsid w:val="00AE1D1F"/>
    <w:rsid w:val="00AE2528"/>
    <w:rsid w:val="00AE2A69"/>
    <w:rsid w:val="00AE37E5"/>
    <w:rsid w:val="00AE5EB4"/>
    <w:rsid w:val="00AF0080"/>
    <w:rsid w:val="00AF0382"/>
    <w:rsid w:val="00AF0C18"/>
    <w:rsid w:val="00AF445A"/>
    <w:rsid w:val="00AF47C5"/>
    <w:rsid w:val="00AF5288"/>
    <w:rsid w:val="00AF5398"/>
    <w:rsid w:val="00B00A04"/>
    <w:rsid w:val="00B02692"/>
    <w:rsid w:val="00B040D9"/>
    <w:rsid w:val="00B049AF"/>
    <w:rsid w:val="00B05ED9"/>
    <w:rsid w:val="00B068E3"/>
    <w:rsid w:val="00B07242"/>
    <w:rsid w:val="00B10534"/>
    <w:rsid w:val="00B113DB"/>
    <w:rsid w:val="00B11D8A"/>
    <w:rsid w:val="00B12981"/>
    <w:rsid w:val="00B12CC2"/>
    <w:rsid w:val="00B147DD"/>
    <w:rsid w:val="00B156FD"/>
    <w:rsid w:val="00B21F61"/>
    <w:rsid w:val="00B223AC"/>
    <w:rsid w:val="00B24080"/>
    <w:rsid w:val="00B261F1"/>
    <w:rsid w:val="00B265BC"/>
    <w:rsid w:val="00B277BA"/>
    <w:rsid w:val="00B30DE9"/>
    <w:rsid w:val="00B30EF2"/>
    <w:rsid w:val="00B31FB1"/>
    <w:rsid w:val="00B33952"/>
    <w:rsid w:val="00B33C5E"/>
    <w:rsid w:val="00B342F4"/>
    <w:rsid w:val="00B34369"/>
    <w:rsid w:val="00B34DC2"/>
    <w:rsid w:val="00B369E6"/>
    <w:rsid w:val="00B378E5"/>
    <w:rsid w:val="00B42DDA"/>
    <w:rsid w:val="00B4346D"/>
    <w:rsid w:val="00B440F4"/>
    <w:rsid w:val="00B447A5"/>
    <w:rsid w:val="00B4654C"/>
    <w:rsid w:val="00B47293"/>
    <w:rsid w:val="00B509E4"/>
    <w:rsid w:val="00B50E50"/>
    <w:rsid w:val="00B52120"/>
    <w:rsid w:val="00B532C4"/>
    <w:rsid w:val="00B54ABC"/>
    <w:rsid w:val="00B563A2"/>
    <w:rsid w:val="00B56FBE"/>
    <w:rsid w:val="00B57EB4"/>
    <w:rsid w:val="00B60ACF"/>
    <w:rsid w:val="00B62B58"/>
    <w:rsid w:val="00B63A1B"/>
    <w:rsid w:val="00B63A64"/>
    <w:rsid w:val="00B65149"/>
    <w:rsid w:val="00B66567"/>
    <w:rsid w:val="00B66F52"/>
    <w:rsid w:val="00B66FE5"/>
    <w:rsid w:val="00B72880"/>
    <w:rsid w:val="00B758BF"/>
    <w:rsid w:val="00B76B52"/>
    <w:rsid w:val="00B77EC8"/>
    <w:rsid w:val="00B81F65"/>
    <w:rsid w:val="00B8277A"/>
    <w:rsid w:val="00B827A6"/>
    <w:rsid w:val="00B831CE"/>
    <w:rsid w:val="00B847BE"/>
    <w:rsid w:val="00B86677"/>
    <w:rsid w:val="00B86EF8"/>
    <w:rsid w:val="00B87131"/>
    <w:rsid w:val="00B939B1"/>
    <w:rsid w:val="00B93A1A"/>
    <w:rsid w:val="00B95FF9"/>
    <w:rsid w:val="00B96D40"/>
    <w:rsid w:val="00B97386"/>
    <w:rsid w:val="00BA263B"/>
    <w:rsid w:val="00BA2C92"/>
    <w:rsid w:val="00BA42B2"/>
    <w:rsid w:val="00BA58D4"/>
    <w:rsid w:val="00BA5B9E"/>
    <w:rsid w:val="00BA72D3"/>
    <w:rsid w:val="00BA7C9A"/>
    <w:rsid w:val="00BA7D97"/>
    <w:rsid w:val="00BB1CF6"/>
    <w:rsid w:val="00BB5F8F"/>
    <w:rsid w:val="00BB646F"/>
    <w:rsid w:val="00BB657A"/>
    <w:rsid w:val="00BB6DBF"/>
    <w:rsid w:val="00BC1A4E"/>
    <w:rsid w:val="00BC5DC7"/>
    <w:rsid w:val="00BC6B8B"/>
    <w:rsid w:val="00BC73D8"/>
    <w:rsid w:val="00BD00C0"/>
    <w:rsid w:val="00BD2E8C"/>
    <w:rsid w:val="00BD52D7"/>
    <w:rsid w:val="00BD5AD2"/>
    <w:rsid w:val="00BD674A"/>
    <w:rsid w:val="00BD6F28"/>
    <w:rsid w:val="00BD7675"/>
    <w:rsid w:val="00BE22F3"/>
    <w:rsid w:val="00BE5915"/>
    <w:rsid w:val="00BE5B52"/>
    <w:rsid w:val="00BE703A"/>
    <w:rsid w:val="00BE7B8D"/>
    <w:rsid w:val="00BF0993"/>
    <w:rsid w:val="00BF09EB"/>
    <w:rsid w:val="00BF10A9"/>
    <w:rsid w:val="00BF1547"/>
    <w:rsid w:val="00BF1703"/>
    <w:rsid w:val="00BF1EAE"/>
    <w:rsid w:val="00BF231C"/>
    <w:rsid w:val="00BF321E"/>
    <w:rsid w:val="00BF481F"/>
    <w:rsid w:val="00BF4BA4"/>
    <w:rsid w:val="00BF51E5"/>
    <w:rsid w:val="00BF74A6"/>
    <w:rsid w:val="00C00798"/>
    <w:rsid w:val="00C013AD"/>
    <w:rsid w:val="00C019BF"/>
    <w:rsid w:val="00C02AA8"/>
    <w:rsid w:val="00C04904"/>
    <w:rsid w:val="00C056B3"/>
    <w:rsid w:val="00C07F86"/>
    <w:rsid w:val="00C103E5"/>
    <w:rsid w:val="00C13319"/>
    <w:rsid w:val="00C13EE9"/>
    <w:rsid w:val="00C15B9E"/>
    <w:rsid w:val="00C167F1"/>
    <w:rsid w:val="00C17D4B"/>
    <w:rsid w:val="00C21540"/>
    <w:rsid w:val="00C21906"/>
    <w:rsid w:val="00C21BFA"/>
    <w:rsid w:val="00C21E24"/>
    <w:rsid w:val="00C24C8D"/>
    <w:rsid w:val="00C24CBD"/>
    <w:rsid w:val="00C25FE2"/>
    <w:rsid w:val="00C26B53"/>
    <w:rsid w:val="00C279B2"/>
    <w:rsid w:val="00C33E50"/>
    <w:rsid w:val="00C34C20"/>
    <w:rsid w:val="00C35879"/>
    <w:rsid w:val="00C35A3E"/>
    <w:rsid w:val="00C3783C"/>
    <w:rsid w:val="00C41DB4"/>
    <w:rsid w:val="00C42130"/>
    <w:rsid w:val="00C423A4"/>
    <w:rsid w:val="00C423E3"/>
    <w:rsid w:val="00C44BF5"/>
    <w:rsid w:val="00C47D6A"/>
    <w:rsid w:val="00C521D6"/>
    <w:rsid w:val="00C524F5"/>
    <w:rsid w:val="00C55232"/>
    <w:rsid w:val="00C553A4"/>
    <w:rsid w:val="00C55A06"/>
    <w:rsid w:val="00C55D03"/>
    <w:rsid w:val="00C55E87"/>
    <w:rsid w:val="00C563F4"/>
    <w:rsid w:val="00C56756"/>
    <w:rsid w:val="00C57CF6"/>
    <w:rsid w:val="00C601BC"/>
    <w:rsid w:val="00C62341"/>
    <w:rsid w:val="00C6329F"/>
    <w:rsid w:val="00C63340"/>
    <w:rsid w:val="00C643F9"/>
    <w:rsid w:val="00C6461A"/>
    <w:rsid w:val="00C64E95"/>
    <w:rsid w:val="00C665AC"/>
    <w:rsid w:val="00C71372"/>
    <w:rsid w:val="00C72410"/>
    <w:rsid w:val="00C7287F"/>
    <w:rsid w:val="00C7394A"/>
    <w:rsid w:val="00C7574A"/>
    <w:rsid w:val="00C76065"/>
    <w:rsid w:val="00C77430"/>
    <w:rsid w:val="00C80675"/>
    <w:rsid w:val="00C80CB8"/>
    <w:rsid w:val="00C819F8"/>
    <w:rsid w:val="00C8248C"/>
    <w:rsid w:val="00C83695"/>
    <w:rsid w:val="00C84E33"/>
    <w:rsid w:val="00C84FD7"/>
    <w:rsid w:val="00C851C3"/>
    <w:rsid w:val="00C8696C"/>
    <w:rsid w:val="00C86D6F"/>
    <w:rsid w:val="00C90540"/>
    <w:rsid w:val="00C905FC"/>
    <w:rsid w:val="00C91FAA"/>
    <w:rsid w:val="00C92D03"/>
    <w:rsid w:val="00C9319C"/>
    <w:rsid w:val="00C93698"/>
    <w:rsid w:val="00C9435D"/>
    <w:rsid w:val="00C94DF2"/>
    <w:rsid w:val="00C96389"/>
    <w:rsid w:val="00C96741"/>
    <w:rsid w:val="00C97FCE"/>
    <w:rsid w:val="00CA030C"/>
    <w:rsid w:val="00CA03DC"/>
    <w:rsid w:val="00CA2571"/>
    <w:rsid w:val="00CA2D1B"/>
    <w:rsid w:val="00CA375D"/>
    <w:rsid w:val="00CA4078"/>
    <w:rsid w:val="00CA662A"/>
    <w:rsid w:val="00CA7AFD"/>
    <w:rsid w:val="00CA7C3C"/>
    <w:rsid w:val="00CB0189"/>
    <w:rsid w:val="00CB0BA2"/>
    <w:rsid w:val="00CB1A42"/>
    <w:rsid w:val="00CB1B0C"/>
    <w:rsid w:val="00CB2C0B"/>
    <w:rsid w:val="00CB32F1"/>
    <w:rsid w:val="00CB517D"/>
    <w:rsid w:val="00CB6710"/>
    <w:rsid w:val="00CB7643"/>
    <w:rsid w:val="00CC038D"/>
    <w:rsid w:val="00CC08DB"/>
    <w:rsid w:val="00CC39FF"/>
    <w:rsid w:val="00CC3C2F"/>
    <w:rsid w:val="00CC4484"/>
    <w:rsid w:val="00CC4AC8"/>
    <w:rsid w:val="00CC5233"/>
    <w:rsid w:val="00CC5DE6"/>
    <w:rsid w:val="00CC6348"/>
    <w:rsid w:val="00CC6E4E"/>
    <w:rsid w:val="00CC6FE8"/>
    <w:rsid w:val="00CC7202"/>
    <w:rsid w:val="00CD0C2C"/>
    <w:rsid w:val="00CD2808"/>
    <w:rsid w:val="00CD28BF"/>
    <w:rsid w:val="00CD30EB"/>
    <w:rsid w:val="00CD4092"/>
    <w:rsid w:val="00CD4A20"/>
    <w:rsid w:val="00CD50A1"/>
    <w:rsid w:val="00CD515A"/>
    <w:rsid w:val="00CD519E"/>
    <w:rsid w:val="00CE0C4F"/>
    <w:rsid w:val="00CE30EA"/>
    <w:rsid w:val="00CE679C"/>
    <w:rsid w:val="00CF048A"/>
    <w:rsid w:val="00CF155A"/>
    <w:rsid w:val="00CF2947"/>
    <w:rsid w:val="00CF686F"/>
    <w:rsid w:val="00CF68E4"/>
    <w:rsid w:val="00CF6E60"/>
    <w:rsid w:val="00CF7BCA"/>
    <w:rsid w:val="00D008FD"/>
    <w:rsid w:val="00D0321C"/>
    <w:rsid w:val="00D035EC"/>
    <w:rsid w:val="00D045F5"/>
    <w:rsid w:val="00D056EF"/>
    <w:rsid w:val="00D0693D"/>
    <w:rsid w:val="00D06AB1"/>
    <w:rsid w:val="00D06AD9"/>
    <w:rsid w:val="00D06FC1"/>
    <w:rsid w:val="00D072ED"/>
    <w:rsid w:val="00D07533"/>
    <w:rsid w:val="00D07A16"/>
    <w:rsid w:val="00D1067E"/>
    <w:rsid w:val="00D10F50"/>
    <w:rsid w:val="00D11272"/>
    <w:rsid w:val="00D11F71"/>
    <w:rsid w:val="00D126F5"/>
    <w:rsid w:val="00D1489E"/>
    <w:rsid w:val="00D165A4"/>
    <w:rsid w:val="00D20737"/>
    <w:rsid w:val="00D21B2E"/>
    <w:rsid w:val="00D21E81"/>
    <w:rsid w:val="00D21E92"/>
    <w:rsid w:val="00D223DE"/>
    <w:rsid w:val="00D22EC7"/>
    <w:rsid w:val="00D25E37"/>
    <w:rsid w:val="00D2661A"/>
    <w:rsid w:val="00D27582"/>
    <w:rsid w:val="00D27EC4"/>
    <w:rsid w:val="00D32719"/>
    <w:rsid w:val="00D33333"/>
    <w:rsid w:val="00D33F85"/>
    <w:rsid w:val="00D34BE9"/>
    <w:rsid w:val="00D352A2"/>
    <w:rsid w:val="00D4162B"/>
    <w:rsid w:val="00D4241C"/>
    <w:rsid w:val="00D44FD4"/>
    <w:rsid w:val="00D4514F"/>
    <w:rsid w:val="00D451E2"/>
    <w:rsid w:val="00D45E89"/>
    <w:rsid w:val="00D45E8D"/>
    <w:rsid w:val="00D466AE"/>
    <w:rsid w:val="00D4734F"/>
    <w:rsid w:val="00D50AB6"/>
    <w:rsid w:val="00D51BF3"/>
    <w:rsid w:val="00D51FFC"/>
    <w:rsid w:val="00D53F7A"/>
    <w:rsid w:val="00D5773B"/>
    <w:rsid w:val="00D6157D"/>
    <w:rsid w:val="00D6219B"/>
    <w:rsid w:val="00D66846"/>
    <w:rsid w:val="00D675FB"/>
    <w:rsid w:val="00D676C3"/>
    <w:rsid w:val="00D7096C"/>
    <w:rsid w:val="00D71F25"/>
    <w:rsid w:val="00D725BD"/>
    <w:rsid w:val="00D72A9C"/>
    <w:rsid w:val="00D75162"/>
    <w:rsid w:val="00D75FFF"/>
    <w:rsid w:val="00D77031"/>
    <w:rsid w:val="00D80DCD"/>
    <w:rsid w:val="00D84941"/>
    <w:rsid w:val="00D84FA1"/>
    <w:rsid w:val="00D851F0"/>
    <w:rsid w:val="00D86DB7"/>
    <w:rsid w:val="00D90721"/>
    <w:rsid w:val="00D926D0"/>
    <w:rsid w:val="00D93030"/>
    <w:rsid w:val="00D938C7"/>
    <w:rsid w:val="00D950E1"/>
    <w:rsid w:val="00D952A6"/>
    <w:rsid w:val="00D97F99"/>
    <w:rsid w:val="00DA1E08"/>
    <w:rsid w:val="00DA24F8"/>
    <w:rsid w:val="00DA28E8"/>
    <w:rsid w:val="00DA38D3"/>
    <w:rsid w:val="00DA3932"/>
    <w:rsid w:val="00DA3AFC"/>
    <w:rsid w:val="00DA3B77"/>
    <w:rsid w:val="00DA5484"/>
    <w:rsid w:val="00DA64F8"/>
    <w:rsid w:val="00DA6C15"/>
    <w:rsid w:val="00DB0258"/>
    <w:rsid w:val="00DB05FE"/>
    <w:rsid w:val="00DB310B"/>
    <w:rsid w:val="00DB38EE"/>
    <w:rsid w:val="00DB4833"/>
    <w:rsid w:val="00DB498B"/>
    <w:rsid w:val="00DB66CA"/>
    <w:rsid w:val="00DB6BCA"/>
    <w:rsid w:val="00DB6F54"/>
    <w:rsid w:val="00DB73F7"/>
    <w:rsid w:val="00DB7891"/>
    <w:rsid w:val="00DC0321"/>
    <w:rsid w:val="00DC3067"/>
    <w:rsid w:val="00DC370B"/>
    <w:rsid w:val="00DC5313"/>
    <w:rsid w:val="00DC5B90"/>
    <w:rsid w:val="00DC67DF"/>
    <w:rsid w:val="00DD00FF"/>
    <w:rsid w:val="00DD0619"/>
    <w:rsid w:val="00DD07FB"/>
    <w:rsid w:val="00DD249E"/>
    <w:rsid w:val="00DD25C6"/>
    <w:rsid w:val="00DD4FE5"/>
    <w:rsid w:val="00DD54B0"/>
    <w:rsid w:val="00DD57EE"/>
    <w:rsid w:val="00DD5E18"/>
    <w:rsid w:val="00DD6BCC"/>
    <w:rsid w:val="00DD7600"/>
    <w:rsid w:val="00DE0A4B"/>
    <w:rsid w:val="00DE0FB5"/>
    <w:rsid w:val="00DE19D6"/>
    <w:rsid w:val="00DE2410"/>
    <w:rsid w:val="00DE2939"/>
    <w:rsid w:val="00DE6912"/>
    <w:rsid w:val="00DE6E81"/>
    <w:rsid w:val="00DE703F"/>
    <w:rsid w:val="00DE7595"/>
    <w:rsid w:val="00DF0050"/>
    <w:rsid w:val="00DF1551"/>
    <w:rsid w:val="00DF1961"/>
    <w:rsid w:val="00DF44DE"/>
    <w:rsid w:val="00E00240"/>
    <w:rsid w:val="00E01138"/>
    <w:rsid w:val="00E02DFB"/>
    <w:rsid w:val="00E030F9"/>
    <w:rsid w:val="00E0311A"/>
    <w:rsid w:val="00E03138"/>
    <w:rsid w:val="00E04A83"/>
    <w:rsid w:val="00E04C8C"/>
    <w:rsid w:val="00E06404"/>
    <w:rsid w:val="00E11A85"/>
    <w:rsid w:val="00E12495"/>
    <w:rsid w:val="00E13218"/>
    <w:rsid w:val="00E15ACC"/>
    <w:rsid w:val="00E15CCD"/>
    <w:rsid w:val="00E202EF"/>
    <w:rsid w:val="00E210B5"/>
    <w:rsid w:val="00E2462D"/>
    <w:rsid w:val="00E2552F"/>
    <w:rsid w:val="00E3137A"/>
    <w:rsid w:val="00E328C8"/>
    <w:rsid w:val="00E32CCF"/>
    <w:rsid w:val="00E34791"/>
    <w:rsid w:val="00E34A98"/>
    <w:rsid w:val="00E35D1E"/>
    <w:rsid w:val="00E364F9"/>
    <w:rsid w:val="00E365FA"/>
    <w:rsid w:val="00E36789"/>
    <w:rsid w:val="00E445DF"/>
    <w:rsid w:val="00E44A83"/>
    <w:rsid w:val="00E455D7"/>
    <w:rsid w:val="00E502C1"/>
    <w:rsid w:val="00E502DD"/>
    <w:rsid w:val="00E50D3A"/>
    <w:rsid w:val="00E50F73"/>
    <w:rsid w:val="00E51387"/>
    <w:rsid w:val="00E51E68"/>
    <w:rsid w:val="00E52EFD"/>
    <w:rsid w:val="00E5408A"/>
    <w:rsid w:val="00E559A7"/>
    <w:rsid w:val="00E56800"/>
    <w:rsid w:val="00E571DC"/>
    <w:rsid w:val="00E60800"/>
    <w:rsid w:val="00E60C63"/>
    <w:rsid w:val="00E6215E"/>
    <w:rsid w:val="00E62B56"/>
    <w:rsid w:val="00E62FF9"/>
    <w:rsid w:val="00E635D6"/>
    <w:rsid w:val="00E639BC"/>
    <w:rsid w:val="00E664CC"/>
    <w:rsid w:val="00E70388"/>
    <w:rsid w:val="00E70F92"/>
    <w:rsid w:val="00E71BE3"/>
    <w:rsid w:val="00E74313"/>
    <w:rsid w:val="00E74C54"/>
    <w:rsid w:val="00E77A03"/>
    <w:rsid w:val="00E81C44"/>
    <w:rsid w:val="00E822E8"/>
    <w:rsid w:val="00E82554"/>
    <w:rsid w:val="00E82606"/>
    <w:rsid w:val="00E82DFC"/>
    <w:rsid w:val="00E831C1"/>
    <w:rsid w:val="00E846C8"/>
    <w:rsid w:val="00E847F8"/>
    <w:rsid w:val="00E84957"/>
    <w:rsid w:val="00E84A55"/>
    <w:rsid w:val="00E85669"/>
    <w:rsid w:val="00E85BFF"/>
    <w:rsid w:val="00E87B23"/>
    <w:rsid w:val="00E90391"/>
    <w:rsid w:val="00E90649"/>
    <w:rsid w:val="00E906C2"/>
    <w:rsid w:val="00E90B56"/>
    <w:rsid w:val="00E9311F"/>
    <w:rsid w:val="00E934D1"/>
    <w:rsid w:val="00E93690"/>
    <w:rsid w:val="00E94AF0"/>
    <w:rsid w:val="00E95D13"/>
    <w:rsid w:val="00E95DD3"/>
    <w:rsid w:val="00E9688F"/>
    <w:rsid w:val="00E969D5"/>
    <w:rsid w:val="00EA3831"/>
    <w:rsid w:val="00EA58D1"/>
    <w:rsid w:val="00EA5E84"/>
    <w:rsid w:val="00EA61BC"/>
    <w:rsid w:val="00EA681A"/>
    <w:rsid w:val="00EA6D4D"/>
    <w:rsid w:val="00EA735B"/>
    <w:rsid w:val="00EB15B9"/>
    <w:rsid w:val="00EB1E69"/>
    <w:rsid w:val="00EB2086"/>
    <w:rsid w:val="00EB25EF"/>
    <w:rsid w:val="00EB31ED"/>
    <w:rsid w:val="00EB44A2"/>
    <w:rsid w:val="00EB49E8"/>
    <w:rsid w:val="00EB5EDF"/>
    <w:rsid w:val="00EB60FE"/>
    <w:rsid w:val="00EB62FB"/>
    <w:rsid w:val="00EB74DB"/>
    <w:rsid w:val="00EB7864"/>
    <w:rsid w:val="00EC0820"/>
    <w:rsid w:val="00EC16B0"/>
    <w:rsid w:val="00EC4487"/>
    <w:rsid w:val="00EC5359"/>
    <w:rsid w:val="00EC562A"/>
    <w:rsid w:val="00ED067A"/>
    <w:rsid w:val="00ED2B50"/>
    <w:rsid w:val="00EE009D"/>
    <w:rsid w:val="00EE0350"/>
    <w:rsid w:val="00EE0719"/>
    <w:rsid w:val="00EE0E80"/>
    <w:rsid w:val="00EE613F"/>
    <w:rsid w:val="00EE7295"/>
    <w:rsid w:val="00EE7869"/>
    <w:rsid w:val="00EF054A"/>
    <w:rsid w:val="00EF3235"/>
    <w:rsid w:val="00EF7E72"/>
    <w:rsid w:val="00F0338D"/>
    <w:rsid w:val="00F03A1D"/>
    <w:rsid w:val="00F04D16"/>
    <w:rsid w:val="00F06D37"/>
    <w:rsid w:val="00F07B9D"/>
    <w:rsid w:val="00F11586"/>
    <w:rsid w:val="00F1183B"/>
    <w:rsid w:val="00F11C9F"/>
    <w:rsid w:val="00F11F2B"/>
    <w:rsid w:val="00F12263"/>
    <w:rsid w:val="00F13ED9"/>
    <w:rsid w:val="00F1409D"/>
    <w:rsid w:val="00F14214"/>
    <w:rsid w:val="00F157A9"/>
    <w:rsid w:val="00F16F00"/>
    <w:rsid w:val="00F25BB6"/>
    <w:rsid w:val="00F25D66"/>
    <w:rsid w:val="00F26B7E"/>
    <w:rsid w:val="00F27689"/>
    <w:rsid w:val="00F27A3B"/>
    <w:rsid w:val="00F307B7"/>
    <w:rsid w:val="00F3169F"/>
    <w:rsid w:val="00F331D4"/>
    <w:rsid w:val="00F33817"/>
    <w:rsid w:val="00F34849"/>
    <w:rsid w:val="00F40C70"/>
    <w:rsid w:val="00F41820"/>
    <w:rsid w:val="00F420D5"/>
    <w:rsid w:val="00F4363B"/>
    <w:rsid w:val="00F44478"/>
    <w:rsid w:val="00F451EA"/>
    <w:rsid w:val="00F45447"/>
    <w:rsid w:val="00F456C6"/>
    <w:rsid w:val="00F4577B"/>
    <w:rsid w:val="00F46496"/>
    <w:rsid w:val="00F474D0"/>
    <w:rsid w:val="00F50179"/>
    <w:rsid w:val="00F515EE"/>
    <w:rsid w:val="00F53248"/>
    <w:rsid w:val="00F56511"/>
    <w:rsid w:val="00F6194E"/>
    <w:rsid w:val="00F623AC"/>
    <w:rsid w:val="00F6412A"/>
    <w:rsid w:val="00F65893"/>
    <w:rsid w:val="00F66A4A"/>
    <w:rsid w:val="00F71ADD"/>
    <w:rsid w:val="00F71E22"/>
    <w:rsid w:val="00F72142"/>
    <w:rsid w:val="00F72AE7"/>
    <w:rsid w:val="00F74A24"/>
    <w:rsid w:val="00F80683"/>
    <w:rsid w:val="00F81476"/>
    <w:rsid w:val="00F82B2B"/>
    <w:rsid w:val="00F833BA"/>
    <w:rsid w:val="00F84A43"/>
    <w:rsid w:val="00F84FD0"/>
    <w:rsid w:val="00F859A8"/>
    <w:rsid w:val="00F86D87"/>
    <w:rsid w:val="00F9108B"/>
    <w:rsid w:val="00F91349"/>
    <w:rsid w:val="00F937B1"/>
    <w:rsid w:val="00F93A8A"/>
    <w:rsid w:val="00F951BA"/>
    <w:rsid w:val="00F95248"/>
    <w:rsid w:val="00F956A9"/>
    <w:rsid w:val="00F963ED"/>
    <w:rsid w:val="00F966CF"/>
    <w:rsid w:val="00F96CAE"/>
    <w:rsid w:val="00F97C99"/>
    <w:rsid w:val="00FA1586"/>
    <w:rsid w:val="00FA662D"/>
    <w:rsid w:val="00FA73B1"/>
    <w:rsid w:val="00FB0086"/>
    <w:rsid w:val="00FB0CB9"/>
    <w:rsid w:val="00FB1690"/>
    <w:rsid w:val="00FB231D"/>
    <w:rsid w:val="00FB249E"/>
    <w:rsid w:val="00FB45F1"/>
    <w:rsid w:val="00FB4A72"/>
    <w:rsid w:val="00FB54E8"/>
    <w:rsid w:val="00FB5B4C"/>
    <w:rsid w:val="00FB7054"/>
    <w:rsid w:val="00FC17B7"/>
    <w:rsid w:val="00FC2B6F"/>
    <w:rsid w:val="00FC2CB7"/>
    <w:rsid w:val="00FC4090"/>
    <w:rsid w:val="00FC4F20"/>
    <w:rsid w:val="00FC55B4"/>
    <w:rsid w:val="00FD00E6"/>
    <w:rsid w:val="00FD09A1"/>
    <w:rsid w:val="00FD16E1"/>
    <w:rsid w:val="00FD17F2"/>
    <w:rsid w:val="00FD2532"/>
    <w:rsid w:val="00FD2A7C"/>
    <w:rsid w:val="00FD2CB5"/>
    <w:rsid w:val="00FD3AF5"/>
    <w:rsid w:val="00FD505A"/>
    <w:rsid w:val="00FD59EB"/>
    <w:rsid w:val="00FD7299"/>
    <w:rsid w:val="00FE1FBE"/>
    <w:rsid w:val="00FE29DE"/>
    <w:rsid w:val="00FE37FD"/>
    <w:rsid w:val="00FE3901"/>
    <w:rsid w:val="00FE39D3"/>
    <w:rsid w:val="00FE4BCE"/>
    <w:rsid w:val="00FE54AE"/>
    <w:rsid w:val="00FE576A"/>
    <w:rsid w:val="00FE7E79"/>
    <w:rsid w:val="00FE7FA7"/>
    <w:rsid w:val="00FF2178"/>
    <w:rsid w:val="00FF2A01"/>
    <w:rsid w:val="00FF3E7D"/>
    <w:rsid w:val="00FF4F5C"/>
    <w:rsid w:val="00FF5ABE"/>
    <w:rsid w:val="00FF5B99"/>
    <w:rsid w:val="00FF730C"/>
    <w:rsid w:val="00FF73F4"/>
    <w:rsid w:val="00FF7CE4"/>
    <w:rsid w:val="00FF7E39"/>
    <w:rsid w:val="117E3240"/>
    <w:rsid w:val="19F673F2"/>
    <w:rsid w:val="237EDFBD"/>
    <w:rsid w:val="23FE9CFB"/>
    <w:rsid w:val="24FFD1C6"/>
    <w:rsid w:val="2D570DFC"/>
    <w:rsid w:val="2F3D0391"/>
    <w:rsid w:val="31B6E76E"/>
    <w:rsid w:val="33FBB770"/>
    <w:rsid w:val="33FFEDC1"/>
    <w:rsid w:val="36F3D09E"/>
    <w:rsid w:val="36FE6D37"/>
    <w:rsid w:val="37DFA59A"/>
    <w:rsid w:val="37EF4B4B"/>
    <w:rsid w:val="3D958E0A"/>
    <w:rsid w:val="3DB7B458"/>
    <w:rsid w:val="3EF691FB"/>
    <w:rsid w:val="3F550FB4"/>
    <w:rsid w:val="3FEAB749"/>
    <w:rsid w:val="3FEF783E"/>
    <w:rsid w:val="3FFD9879"/>
    <w:rsid w:val="3FFDD449"/>
    <w:rsid w:val="3FFF2402"/>
    <w:rsid w:val="3FFFA554"/>
    <w:rsid w:val="4B31E796"/>
    <w:rsid w:val="54C5E399"/>
    <w:rsid w:val="553BF224"/>
    <w:rsid w:val="55DE4888"/>
    <w:rsid w:val="5BBFEEDA"/>
    <w:rsid w:val="5BFB62C8"/>
    <w:rsid w:val="5E3F4EF3"/>
    <w:rsid w:val="5EB61591"/>
    <w:rsid w:val="5EBA4601"/>
    <w:rsid w:val="5F3E3E97"/>
    <w:rsid w:val="5F3FC479"/>
    <w:rsid w:val="5F9F616D"/>
    <w:rsid w:val="5FBF3042"/>
    <w:rsid w:val="5FDB568D"/>
    <w:rsid w:val="5FEDF063"/>
    <w:rsid w:val="5FFDF8B5"/>
    <w:rsid w:val="63EFD220"/>
    <w:rsid w:val="63FBC0C3"/>
    <w:rsid w:val="65BFDEDF"/>
    <w:rsid w:val="65FDA3E8"/>
    <w:rsid w:val="699F0662"/>
    <w:rsid w:val="6A7FB803"/>
    <w:rsid w:val="6AEF5095"/>
    <w:rsid w:val="6BB9EAFF"/>
    <w:rsid w:val="6D73F9B6"/>
    <w:rsid w:val="6E3FF5D0"/>
    <w:rsid w:val="6EAB6E50"/>
    <w:rsid w:val="6F37BA1B"/>
    <w:rsid w:val="6F3DECFE"/>
    <w:rsid w:val="6F794145"/>
    <w:rsid w:val="6F7ED2FF"/>
    <w:rsid w:val="6FED1E72"/>
    <w:rsid w:val="71F1A577"/>
    <w:rsid w:val="731F6A4A"/>
    <w:rsid w:val="73B340BD"/>
    <w:rsid w:val="762F2EB0"/>
    <w:rsid w:val="7645C859"/>
    <w:rsid w:val="769E021B"/>
    <w:rsid w:val="779FA839"/>
    <w:rsid w:val="77E7FBE7"/>
    <w:rsid w:val="797DF221"/>
    <w:rsid w:val="79DBCA4C"/>
    <w:rsid w:val="79F6B448"/>
    <w:rsid w:val="7AB70AAD"/>
    <w:rsid w:val="7ABFB8A7"/>
    <w:rsid w:val="7AFF4DC2"/>
    <w:rsid w:val="7BDF0DCC"/>
    <w:rsid w:val="7BE76357"/>
    <w:rsid w:val="7BFD54E3"/>
    <w:rsid w:val="7BFEB2BA"/>
    <w:rsid w:val="7BFF2E0F"/>
    <w:rsid w:val="7CB92D78"/>
    <w:rsid w:val="7CBF5E26"/>
    <w:rsid w:val="7DBF8577"/>
    <w:rsid w:val="7DF3DA66"/>
    <w:rsid w:val="7E7B7BA0"/>
    <w:rsid w:val="7EAF201F"/>
    <w:rsid w:val="7EB9A3CD"/>
    <w:rsid w:val="7EBFBCFE"/>
    <w:rsid w:val="7ED7F2C7"/>
    <w:rsid w:val="7EEE6E6E"/>
    <w:rsid w:val="7EFED040"/>
    <w:rsid w:val="7F6704EB"/>
    <w:rsid w:val="7F67FA17"/>
    <w:rsid w:val="7FDF81D1"/>
    <w:rsid w:val="7FFDFA55"/>
    <w:rsid w:val="7FFFE4F0"/>
    <w:rsid w:val="9BBF2360"/>
    <w:rsid w:val="9F3FEF1E"/>
    <w:rsid w:val="9FDF38F2"/>
    <w:rsid w:val="9FE97D04"/>
    <w:rsid w:val="A47B95FB"/>
    <w:rsid w:val="A7F7CF5C"/>
    <w:rsid w:val="ABDF224B"/>
    <w:rsid w:val="ACC9DD4F"/>
    <w:rsid w:val="AEB6A3E7"/>
    <w:rsid w:val="AEEBC891"/>
    <w:rsid w:val="B3EDE2AC"/>
    <w:rsid w:val="B5BF49F9"/>
    <w:rsid w:val="B7FDE276"/>
    <w:rsid w:val="BA77F51E"/>
    <w:rsid w:val="BD5E4D21"/>
    <w:rsid w:val="BD7C8CD3"/>
    <w:rsid w:val="BDC3EE34"/>
    <w:rsid w:val="BDEFD3BB"/>
    <w:rsid w:val="BEFB2022"/>
    <w:rsid w:val="BEFF256F"/>
    <w:rsid w:val="BEFFD239"/>
    <w:rsid w:val="BFF7AF0A"/>
    <w:rsid w:val="BFFD750C"/>
    <w:rsid w:val="C7F7837A"/>
    <w:rsid w:val="CAEADDAE"/>
    <w:rsid w:val="CB277E35"/>
    <w:rsid w:val="CEEE541B"/>
    <w:rsid w:val="CFB47C84"/>
    <w:rsid w:val="D4A70502"/>
    <w:rsid w:val="D5FD353B"/>
    <w:rsid w:val="D75F274B"/>
    <w:rsid w:val="D76B82EA"/>
    <w:rsid w:val="D7BCC1EC"/>
    <w:rsid w:val="DAF7E7C3"/>
    <w:rsid w:val="DB4EA7BE"/>
    <w:rsid w:val="DBFEE802"/>
    <w:rsid w:val="DD31BBD8"/>
    <w:rsid w:val="DDEFAED7"/>
    <w:rsid w:val="DF7336FE"/>
    <w:rsid w:val="DF7E61AD"/>
    <w:rsid w:val="DFD52E0E"/>
    <w:rsid w:val="DFF6BE5D"/>
    <w:rsid w:val="DFF7CAC7"/>
    <w:rsid w:val="DFF7FD44"/>
    <w:rsid w:val="DFF81568"/>
    <w:rsid w:val="DFFCFA3C"/>
    <w:rsid w:val="E7755707"/>
    <w:rsid w:val="E77ABF99"/>
    <w:rsid w:val="E7FCE6B6"/>
    <w:rsid w:val="EDE75E95"/>
    <w:rsid w:val="EDF6EF55"/>
    <w:rsid w:val="EDF990C1"/>
    <w:rsid w:val="EEE6FACA"/>
    <w:rsid w:val="EFAF83A4"/>
    <w:rsid w:val="EFB95FC9"/>
    <w:rsid w:val="EFDD161C"/>
    <w:rsid w:val="EFE7AF49"/>
    <w:rsid w:val="EFEFCA4D"/>
    <w:rsid w:val="EFFF387D"/>
    <w:rsid w:val="EFFF5002"/>
    <w:rsid w:val="F2FFFD29"/>
    <w:rsid w:val="F5CCC02D"/>
    <w:rsid w:val="F6750B7E"/>
    <w:rsid w:val="F6FBEFE1"/>
    <w:rsid w:val="F77FDECD"/>
    <w:rsid w:val="F7F7219F"/>
    <w:rsid w:val="F95813B5"/>
    <w:rsid w:val="F9DF76D1"/>
    <w:rsid w:val="FAF3CF90"/>
    <w:rsid w:val="FAFF59A7"/>
    <w:rsid w:val="FB7A2C23"/>
    <w:rsid w:val="FB7E0F75"/>
    <w:rsid w:val="FBFBBB32"/>
    <w:rsid w:val="FBFBE53C"/>
    <w:rsid w:val="FCFDA344"/>
    <w:rsid w:val="FD4F1C85"/>
    <w:rsid w:val="FDFB191D"/>
    <w:rsid w:val="FE243122"/>
    <w:rsid w:val="FEDE46D6"/>
    <w:rsid w:val="FEFE1376"/>
    <w:rsid w:val="FEFFCF50"/>
    <w:rsid w:val="FF3DCC50"/>
    <w:rsid w:val="FF5BBE4C"/>
    <w:rsid w:val="FF6B7DF7"/>
    <w:rsid w:val="FF6FF9A0"/>
    <w:rsid w:val="FF71B02E"/>
    <w:rsid w:val="FF7E512B"/>
    <w:rsid w:val="FF9FA36E"/>
    <w:rsid w:val="FFAF9F91"/>
    <w:rsid w:val="FFBB59DD"/>
    <w:rsid w:val="FFCE506A"/>
    <w:rsid w:val="FFDCA2A8"/>
    <w:rsid w:val="FFDCC016"/>
    <w:rsid w:val="FFE745C5"/>
    <w:rsid w:val="FFEB2E93"/>
    <w:rsid w:val="FFF5D709"/>
    <w:rsid w:val="FFFB0254"/>
    <w:rsid w:val="FFFF7683"/>
    <w:rsid w:val="FFFF8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7"/>
    <w:unhideWhenUsed/>
    <w:qFormat/>
    <w:uiPriority w:val="99"/>
    <w:pPr>
      <w:widowControl/>
      <w:adjustRightInd/>
      <w:spacing w:line="240" w:lineRule="auto"/>
      <w:jc w:val="left"/>
    </w:pPr>
    <w:rPr>
      <w:rFonts w:ascii="Times New Roman" w:hAnsi="Times New Roman" w:eastAsiaTheme="minorEastAsia"/>
      <w:kern w:val="0"/>
      <w:sz w:val="24"/>
      <w:szCs w:val="24"/>
    </w:rPr>
  </w:style>
  <w:style w:type="paragraph" w:styleId="14">
    <w:name w:val="Body Text"/>
    <w:basedOn w:val="1"/>
    <w:link w:val="91"/>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Plain Text"/>
    <w:basedOn w:val="1"/>
    <w:link w:val="235"/>
    <w:qFormat/>
    <w:uiPriority w:val="0"/>
    <w:pPr>
      <w:adjustRightInd/>
      <w:spacing w:line="240" w:lineRule="auto"/>
    </w:pPr>
    <w:rPr>
      <w:rFonts w:ascii="宋体" w:hAnsi="Courier New"/>
      <w:szCs w:val="20"/>
    </w:rPr>
  </w:style>
  <w:style w:type="paragraph" w:styleId="18">
    <w:name w:val="Balloon Text"/>
    <w:basedOn w:val="1"/>
    <w:link w:val="50"/>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pPr>
      <w:adjustRightInd/>
      <w:spacing w:line="240" w:lineRule="auto"/>
    </w:pPr>
    <w:rPr>
      <w:sz w:val="24"/>
      <w:szCs w:val="24"/>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3"/>
    <w:next w:val="13"/>
    <w:link w:val="238"/>
    <w:unhideWhenUsed/>
    <w:qFormat/>
    <w:uiPriority w:val="99"/>
    <w:pPr>
      <w:widowControl w:val="0"/>
      <w:adjustRightInd w:val="0"/>
      <w:spacing w:line="400" w:lineRule="exact"/>
    </w:pPr>
    <w:rPr>
      <w:rFonts w:ascii="Calibri" w:hAnsi="Calibri" w:eastAsia="宋体"/>
      <w:b/>
      <w:bCs/>
      <w:kern w:val="2"/>
      <w:sz w:val="21"/>
      <w:szCs w:val="21"/>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页眉 字符"/>
    <w:link w:val="20"/>
    <w:qFormat/>
    <w:uiPriority w:val="99"/>
    <w:rPr>
      <w:rFonts w:ascii="Times New Roman" w:hAnsi="Times New Roman" w:eastAsia="宋体" w:cs="Times New Roman"/>
      <w:sz w:val="18"/>
      <w:szCs w:val="18"/>
    </w:rPr>
  </w:style>
  <w:style w:type="character" w:customStyle="1" w:styleId="49">
    <w:name w:val="页脚 字符"/>
    <w:link w:val="19"/>
    <w:qFormat/>
    <w:uiPriority w:val="99"/>
    <w:rPr>
      <w:rFonts w:ascii="宋体" w:hAnsi="Times New Roman" w:eastAsia="宋体" w:cs="Times New Roman"/>
      <w:sz w:val="18"/>
      <w:szCs w:val="18"/>
    </w:rPr>
  </w:style>
  <w:style w:type="character" w:customStyle="1" w:styleId="50">
    <w:name w:val="批注框文本 字符"/>
    <w:link w:val="18"/>
    <w:semiHidden/>
    <w:qFormat/>
    <w:uiPriority w:val="99"/>
    <w:rPr>
      <w:sz w:val="18"/>
      <w:szCs w:val="18"/>
    </w:rPr>
  </w:style>
  <w:style w:type="paragraph" w:customStyle="1" w:styleId="51">
    <w:name w:val="引用1"/>
    <w:basedOn w:val="1"/>
    <w:next w:val="1"/>
    <w:link w:val="52"/>
    <w:qFormat/>
    <w:uiPriority w:val="29"/>
    <w:rPr>
      <w:i/>
      <w:iCs/>
      <w:color w:val="000000"/>
    </w:rPr>
  </w:style>
  <w:style w:type="character" w:customStyle="1" w:styleId="52">
    <w:name w:val="引用 字符"/>
    <w:link w:val="51"/>
    <w:qFormat/>
    <w:uiPriority w:val="29"/>
    <w:rPr>
      <w:i/>
      <w:iCs/>
      <w:color w:val="000000"/>
    </w:rPr>
  </w:style>
  <w:style w:type="character" w:customStyle="1" w:styleId="53">
    <w:name w:val="标题 字符"/>
    <w:link w:val="28"/>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3"/>
    <w:semiHidden/>
    <w:qFormat/>
    <w:uiPriority w:val="0"/>
    <w:rPr>
      <w:rFonts w:ascii="宋体" w:hAnsi="Times New Roman" w:eastAsia="宋体" w:cs="Times New Roman"/>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Lines="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Lines="0" w:afterLines="0"/>
      <w:outlineLvl w:val="9"/>
    </w:pPr>
    <w:rPr>
      <w:rFonts w:ascii="宋体" w:eastAsia="宋体"/>
    </w:rPr>
  </w:style>
  <w:style w:type="paragraph" w:customStyle="1" w:styleId="168">
    <w:name w:val="标准文件_五级无标题"/>
    <w:basedOn w:val="108"/>
    <w:qFormat/>
    <w:uiPriority w:val="0"/>
    <w:pPr>
      <w:spacing w:beforeLines="0" w:afterLines="0"/>
      <w:outlineLvl w:val="9"/>
    </w:pPr>
    <w:rPr>
      <w:rFonts w:ascii="宋体" w:eastAsia="宋体"/>
    </w:rPr>
  </w:style>
  <w:style w:type="paragraph" w:customStyle="1" w:styleId="169">
    <w:name w:val="标准文件_三级无标题"/>
    <w:basedOn w:val="99"/>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customStyle="1" w:styleId="191">
    <w:name w:val="占位符文本1"/>
    <w:basedOn w:val="32"/>
    <w:semiHidden/>
    <w:qFormat/>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1"/>
    <w:next w:val="61"/>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qFormat/>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next w:val="61"/>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character" w:customStyle="1" w:styleId="235">
    <w:name w:val="纯文本 字符"/>
    <w:basedOn w:val="32"/>
    <w:link w:val="17"/>
    <w:qFormat/>
    <w:uiPriority w:val="0"/>
    <w:rPr>
      <w:rFonts w:ascii="宋体" w:hAnsi="Courier New"/>
      <w:kern w:val="2"/>
      <w:sz w:val="21"/>
    </w:rPr>
  </w:style>
  <w:style w:type="paragraph" w:customStyle="1" w:styleId="236">
    <w:name w:val="列表段落1"/>
    <w:basedOn w:val="1"/>
    <w:qFormat/>
    <w:uiPriority w:val="34"/>
    <w:pPr>
      <w:adjustRightInd/>
      <w:spacing w:line="240" w:lineRule="auto"/>
      <w:ind w:firstLine="420" w:firstLineChars="200"/>
    </w:pPr>
    <w:rPr>
      <w:szCs w:val="22"/>
    </w:rPr>
  </w:style>
  <w:style w:type="character" w:customStyle="1" w:styleId="237">
    <w:name w:val="批注文字 字符"/>
    <w:basedOn w:val="32"/>
    <w:link w:val="13"/>
    <w:qFormat/>
    <w:uiPriority w:val="99"/>
    <w:rPr>
      <w:rFonts w:ascii="Times New Roman" w:hAnsi="Times New Roman" w:eastAsiaTheme="minorEastAsia"/>
      <w:sz w:val="24"/>
      <w:szCs w:val="24"/>
    </w:rPr>
  </w:style>
  <w:style w:type="character" w:customStyle="1" w:styleId="238">
    <w:name w:val="批注主题 字符"/>
    <w:basedOn w:val="237"/>
    <w:link w:val="29"/>
    <w:semiHidden/>
    <w:qFormat/>
    <w:uiPriority w:val="99"/>
    <w:rPr>
      <w:rFonts w:ascii="Times New Roman" w:hAnsi="Times New Roman" w:eastAsiaTheme="minorEastAsia"/>
      <w:b/>
      <w:bCs/>
      <w:kern w:val="2"/>
      <w:sz w:val="21"/>
      <w:szCs w:val="21"/>
    </w:rPr>
  </w:style>
  <w:style w:type="paragraph" w:customStyle="1" w:styleId="239">
    <w:name w:val="正文图标题"/>
    <w:next w:val="1"/>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240">
    <w:name w:val="段"/>
    <w:link w:val="2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1">
    <w:name w:val="段 Char"/>
    <w:link w:val="240"/>
    <w:qFormat/>
    <w:locked/>
    <w:uiPriority w:val="0"/>
    <w:rPr>
      <w:rFonts w:ascii="宋体" w:hAnsi="Times New Roman"/>
      <w:sz w:val="21"/>
    </w:rPr>
  </w:style>
  <w:style w:type="paragraph" w:customStyle="1" w:styleId="242">
    <w:name w:val="一级条标题"/>
    <w:next w:val="240"/>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43">
    <w:name w:val="章标题"/>
    <w:next w:val="240"/>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44">
    <w:name w:val="二级条标题"/>
    <w:basedOn w:val="242"/>
    <w:next w:val="240"/>
    <w:qFormat/>
    <w:uiPriority w:val="0"/>
    <w:pPr>
      <w:numPr>
        <w:ilvl w:val="2"/>
      </w:numPr>
      <w:spacing w:before="50" w:after="50"/>
      <w:outlineLvl w:val="3"/>
    </w:pPr>
  </w:style>
  <w:style w:type="paragraph" w:customStyle="1" w:styleId="245">
    <w:name w:val="三级条标题"/>
    <w:basedOn w:val="244"/>
    <w:next w:val="240"/>
    <w:qFormat/>
    <w:uiPriority w:val="0"/>
    <w:pPr>
      <w:numPr>
        <w:ilvl w:val="3"/>
      </w:numPr>
      <w:outlineLvl w:val="4"/>
    </w:pPr>
  </w:style>
  <w:style w:type="paragraph" w:customStyle="1" w:styleId="246">
    <w:name w:val="四级条标题"/>
    <w:basedOn w:val="245"/>
    <w:next w:val="240"/>
    <w:qFormat/>
    <w:uiPriority w:val="0"/>
    <w:pPr>
      <w:numPr>
        <w:ilvl w:val="4"/>
      </w:numPr>
      <w:outlineLvl w:val="5"/>
    </w:pPr>
  </w:style>
  <w:style w:type="paragraph" w:customStyle="1" w:styleId="247">
    <w:name w:val="五级条标题"/>
    <w:basedOn w:val="246"/>
    <w:next w:val="240"/>
    <w:qFormat/>
    <w:uiPriority w:val="0"/>
    <w:pPr>
      <w:numPr>
        <w:ilvl w:val="5"/>
      </w:numPr>
      <w:outlineLvl w:val="6"/>
    </w:pPr>
  </w:style>
  <w:style w:type="paragraph" w:customStyle="1" w:styleId="24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49">
    <w:name w:val="列出段落2"/>
    <w:basedOn w:val="1"/>
    <w:qFormat/>
    <w:uiPriority w:val="0"/>
    <w:pPr>
      <w:adjustRightInd/>
      <w:spacing w:line="240" w:lineRule="auto"/>
      <w:ind w:firstLine="420" w:firstLineChars="200"/>
    </w:pPr>
    <w:rPr>
      <w:rFonts w:ascii="Times New Roman" w:hAnsi="Times New Roman"/>
    </w:rPr>
  </w:style>
  <w:style w:type="paragraph" w:customStyle="1" w:styleId="25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2">
    <w:name w:val="Revision"/>
    <w:hidden/>
    <w:semiHidden/>
    <w:qFormat/>
    <w:uiPriority w:val="99"/>
    <w:rPr>
      <w:rFonts w:ascii="Calibri" w:hAnsi="Calibri" w:eastAsia="宋体" w:cs="Times New Roman"/>
      <w:kern w:val="2"/>
      <w:sz w:val="21"/>
      <w:szCs w:val="21"/>
      <w:lang w:val="en-US" w:eastAsia="zh-CN" w:bidi="ar-SA"/>
    </w:rPr>
  </w:style>
  <w:style w:type="paragraph" w:styleId="253">
    <w:name w:val="List Paragraph"/>
    <w:basedOn w:val="1"/>
    <w:qFormat/>
    <w:uiPriority w:val="99"/>
    <w:pPr>
      <w:ind w:firstLine="420" w:firstLineChars="200"/>
    </w:pPr>
  </w:style>
  <w:style w:type="paragraph" w:customStyle="1" w:styleId="254">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5">
    <w:name w:val="WPSOffice手动目录 1"/>
    <w:qFormat/>
    <w:uiPriority w:val="0"/>
    <w:pPr>
      <w:ind w:leftChars="0"/>
    </w:pPr>
    <w:rPr>
      <w:rFonts w:ascii="Times New Roman" w:hAnsi="Times New Roman" w:eastAsia="宋体" w:cs="Times New Roman"/>
      <w:sz w:val="20"/>
      <w:szCs w:val="20"/>
    </w:rPr>
  </w:style>
  <w:style w:type="paragraph" w:customStyle="1" w:styleId="25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83BD161E894264879851B21FBEAB63"/>
        <w:style w:val=""/>
        <w:category>
          <w:name w:val="常规"/>
          <w:gallery w:val="placeholder"/>
        </w:category>
        <w:types>
          <w:type w:val="bbPlcHdr"/>
        </w:types>
        <w:behaviors>
          <w:behavior w:val="content"/>
        </w:behaviors>
        <w:description w:val=""/>
        <w:guid w:val="{7EB8EE81-7B22-4308-980B-7AB019361F61}"/>
      </w:docPartPr>
      <w:docPartBody>
        <w:p>
          <w:pPr>
            <w:pStyle w:val="5"/>
          </w:pPr>
          <w:r>
            <w:rPr>
              <w:rStyle w:val="4"/>
              <w:rFonts w:hint="eastAsia"/>
            </w:rPr>
            <w:t>单击或点击此处输入文字。</w:t>
          </w:r>
        </w:p>
      </w:docPartBody>
    </w:docPart>
    <w:docPart>
      <w:docPartPr>
        <w:name w:val="689C064C96FF4F5EA342E6BD45334431"/>
        <w:style w:val=""/>
        <w:category>
          <w:name w:val="常规"/>
          <w:gallery w:val="placeholder"/>
        </w:category>
        <w:types>
          <w:type w:val="bbPlcHdr"/>
        </w:types>
        <w:behaviors>
          <w:behavior w:val="content"/>
        </w:behaviors>
        <w:description w:val=""/>
        <w:guid w:val="{3EA93941-8CE2-4D0F-9BDF-A529786F25B7}"/>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317703"/>
    <w:rsid w:val="000074D9"/>
    <w:rsid w:val="0002086F"/>
    <w:rsid w:val="0003672A"/>
    <w:rsid w:val="00057131"/>
    <w:rsid w:val="00064C03"/>
    <w:rsid w:val="00067BE9"/>
    <w:rsid w:val="00073AB2"/>
    <w:rsid w:val="00094531"/>
    <w:rsid w:val="000C4DDA"/>
    <w:rsid w:val="000D2565"/>
    <w:rsid w:val="00102499"/>
    <w:rsid w:val="00142CE0"/>
    <w:rsid w:val="00154FBD"/>
    <w:rsid w:val="001A5AF6"/>
    <w:rsid w:val="0021085C"/>
    <w:rsid w:val="00223C89"/>
    <w:rsid w:val="002641B8"/>
    <w:rsid w:val="0026494B"/>
    <w:rsid w:val="00294001"/>
    <w:rsid w:val="002D5389"/>
    <w:rsid w:val="002E1DEF"/>
    <w:rsid w:val="003017AF"/>
    <w:rsid w:val="003156B3"/>
    <w:rsid w:val="00317703"/>
    <w:rsid w:val="00363A18"/>
    <w:rsid w:val="00363B2F"/>
    <w:rsid w:val="00377414"/>
    <w:rsid w:val="003A5AF9"/>
    <w:rsid w:val="003C0D54"/>
    <w:rsid w:val="003D3C8F"/>
    <w:rsid w:val="00406A63"/>
    <w:rsid w:val="0047426F"/>
    <w:rsid w:val="004C0F49"/>
    <w:rsid w:val="004E0C64"/>
    <w:rsid w:val="00533223"/>
    <w:rsid w:val="00535C43"/>
    <w:rsid w:val="00555B38"/>
    <w:rsid w:val="005826F5"/>
    <w:rsid w:val="006268E2"/>
    <w:rsid w:val="00646DB0"/>
    <w:rsid w:val="006579B7"/>
    <w:rsid w:val="006F2E2A"/>
    <w:rsid w:val="00727FB1"/>
    <w:rsid w:val="00731969"/>
    <w:rsid w:val="007A719F"/>
    <w:rsid w:val="007D5370"/>
    <w:rsid w:val="007F218F"/>
    <w:rsid w:val="008C78FD"/>
    <w:rsid w:val="008D255B"/>
    <w:rsid w:val="008F62DC"/>
    <w:rsid w:val="009B43A5"/>
    <w:rsid w:val="009C6405"/>
    <w:rsid w:val="009D27AE"/>
    <w:rsid w:val="009D4339"/>
    <w:rsid w:val="009E2B6C"/>
    <w:rsid w:val="009F2F5D"/>
    <w:rsid w:val="009F7625"/>
    <w:rsid w:val="00A02952"/>
    <w:rsid w:val="00A1396B"/>
    <w:rsid w:val="00A2571D"/>
    <w:rsid w:val="00A77C11"/>
    <w:rsid w:val="00AB00DA"/>
    <w:rsid w:val="00B034C3"/>
    <w:rsid w:val="00B06505"/>
    <w:rsid w:val="00B54C22"/>
    <w:rsid w:val="00B922A9"/>
    <w:rsid w:val="00BC6081"/>
    <w:rsid w:val="00BE7AD2"/>
    <w:rsid w:val="00C23716"/>
    <w:rsid w:val="00CB5160"/>
    <w:rsid w:val="00CB5A6D"/>
    <w:rsid w:val="00CF1605"/>
    <w:rsid w:val="00D075CF"/>
    <w:rsid w:val="00D24F36"/>
    <w:rsid w:val="00DB13EE"/>
    <w:rsid w:val="00DD4AC7"/>
    <w:rsid w:val="00E1226E"/>
    <w:rsid w:val="00E141D6"/>
    <w:rsid w:val="00E36182"/>
    <w:rsid w:val="00E50563"/>
    <w:rsid w:val="00E540E5"/>
    <w:rsid w:val="00E64CCF"/>
    <w:rsid w:val="00E80855"/>
    <w:rsid w:val="00ED037A"/>
    <w:rsid w:val="00ED46D3"/>
    <w:rsid w:val="00EF4434"/>
    <w:rsid w:val="00F23538"/>
    <w:rsid w:val="00F3457E"/>
    <w:rsid w:val="00F57DA5"/>
    <w:rsid w:val="00FA0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2083BD161E894264879851B21FBEAB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89C064C96FF4F5EA342E6BD4533443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7</Pages>
  <Words>1777</Words>
  <Characters>1903</Characters>
  <Lines>86</Lines>
  <Paragraphs>105</Paragraphs>
  <TotalTime>9</TotalTime>
  <ScaleCrop>false</ScaleCrop>
  <LinksUpToDate>false</LinksUpToDate>
  <CharactersWithSpaces>3575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2024-08-16T07:08:00Z</dcterms:created>
  <dc:creator>俞政臣</dc:creator>
  <dc:description>&lt;config cover="true" show_menu="true" version="1.0.0" doctype="SDKXY"&gt;_x000d_
&lt;/config&gt;</dc:description>
  <cp:lastModifiedBy>jiangx</cp:lastModifiedBy>
  <cp:lastPrinted>2024-10-08T07:58:22Z</cp:lastPrinted>
  <dcterms:modified xsi:type="dcterms:W3CDTF">2024-10-08T07:58:25Z</dcterms:modified>
  <dc:title>团体标准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y fmtid="{D5CDD505-2E9C-101B-9397-08002B2CF9AE}" pid="15" name="ICV">
    <vt:lpwstr>99ED9EC163A24083A192C1A9267F1C94</vt:lpwstr>
  </property>
</Properties>
</file>