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附件2</w:t>
      </w:r>
    </w:p>
    <w:p>
      <w:pPr>
        <w:jc w:val="center"/>
        <w:rPr>
          <w:rFonts w:hint="eastAsia" w:ascii="宋体" w:hAnsi="宋体" w:eastAsia="宋体"/>
          <w:b/>
          <w:bCs/>
          <w:sz w:val="36"/>
          <w:szCs w:val="36"/>
        </w:rPr>
      </w:pPr>
    </w:p>
    <w:p>
      <w:pPr>
        <w:jc w:val="center"/>
        <w:rPr>
          <w:rFonts w:hint="eastAsia" w:ascii="宋体" w:hAnsi="宋体" w:eastAsia="宋体"/>
          <w:b/>
          <w:bCs/>
          <w:sz w:val="36"/>
          <w:szCs w:val="36"/>
        </w:rPr>
      </w:pPr>
    </w:p>
    <w:p>
      <w:pPr>
        <w:jc w:val="center"/>
        <w:rPr>
          <w:rFonts w:hint="eastAsia" w:ascii="宋体" w:hAnsi="宋体" w:eastAsia="宋体"/>
          <w:b/>
          <w:bCs/>
          <w:sz w:val="44"/>
          <w:szCs w:val="44"/>
        </w:rPr>
      </w:pPr>
      <w:r>
        <w:rPr>
          <w:rFonts w:hint="eastAsia" w:ascii="宋体" w:hAnsi="宋体" w:eastAsia="宋体"/>
          <w:b/>
          <w:bCs/>
          <w:sz w:val="44"/>
          <w:szCs w:val="44"/>
        </w:rPr>
        <w:t>中国出入境检验检疫协会团体标准</w:t>
      </w:r>
    </w:p>
    <w:p>
      <w:pPr>
        <w:jc w:val="center"/>
        <w:rPr>
          <w:rFonts w:hint="eastAsia" w:ascii="黑体" w:hAnsi="黑体" w:eastAsia="黑体"/>
          <w:sz w:val="36"/>
          <w:szCs w:val="36"/>
        </w:rPr>
      </w:pPr>
    </w:p>
    <w:p>
      <w:pPr>
        <w:jc w:val="center"/>
        <w:rPr>
          <w:rFonts w:hint="eastAsia" w:ascii="宋体" w:hAnsi="宋体" w:eastAsia="宋体"/>
          <w:b/>
          <w:bCs/>
          <w:sz w:val="48"/>
          <w:szCs w:val="48"/>
        </w:rPr>
      </w:pPr>
      <w:r>
        <w:rPr>
          <w:rFonts w:hint="eastAsia" w:ascii="宋体" w:hAnsi="宋体" w:eastAsia="宋体"/>
          <w:b/>
          <w:bCs/>
          <w:sz w:val="48"/>
          <w:szCs w:val="48"/>
        </w:rPr>
        <w:t>《数字产品网络安全要求》</w:t>
      </w:r>
    </w:p>
    <w:p>
      <w:pPr>
        <w:jc w:val="center"/>
        <w:rPr>
          <w:rFonts w:hint="eastAsia" w:ascii="宋体" w:hAnsi="宋体" w:eastAsia="宋体"/>
          <w:sz w:val="28"/>
          <w:szCs w:val="28"/>
        </w:rPr>
      </w:pPr>
      <w:r>
        <w:rPr>
          <w:rFonts w:hint="eastAsia" w:ascii="宋体" w:hAnsi="宋体" w:eastAsia="宋体"/>
          <w:sz w:val="28"/>
          <w:szCs w:val="28"/>
        </w:rPr>
        <w:t>（征求意见稿）</w:t>
      </w:r>
    </w:p>
    <w:p>
      <w:pPr>
        <w:rPr>
          <w:rFonts w:hint="eastAsia" w:ascii="宋体" w:hAnsi="宋体" w:eastAsia="宋体"/>
          <w:sz w:val="28"/>
          <w:szCs w:val="28"/>
        </w:rPr>
      </w:pPr>
    </w:p>
    <w:p>
      <w:pPr>
        <w:rPr>
          <w:rFonts w:hint="eastAsia" w:ascii="宋体" w:hAnsi="宋体" w:eastAsia="宋体"/>
          <w:sz w:val="28"/>
          <w:szCs w:val="28"/>
        </w:rPr>
      </w:pPr>
    </w:p>
    <w:p>
      <w:pPr>
        <w:rPr>
          <w:rFonts w:hint="eastAsia" w:ascii="宋体" w:hAnsi="宋体" w:eastAsia="宋体"/>
          <w:sz w:val="28"/>
          <w:szCs w:val="28"/>
        </w:rPr>
      </w:pPr>
    </w:p>
    <w:p>
      <w:pPr>
        <w:rPr>
          <w:rFonts w:hint="eastAsia" w:ascii="宋体" w:hAnsi="宋体" w:eastAsia="宋体"/>
          <w:sz w:val="28"/>
          <w:szCs w:val="28"/>
        </w:rPr>
      </w:pPr>
    </w:p>
    <w:p>
      <w:pPr>
        <w:jc w:val="center"/>
        <w:rPr>
          <w:rFonts w:hint="eastAsia" w:ascii="宋体" w:hAnsi="宋体" w:eastAsia="宋体"/>
          <w:b/>
          <w:bCs/>
          <w:sz w:val="52"/>
          <w:szCs w:val="52"/>
        </w:rPr>
      </w:pPr>
      <w:r>
        <w:rPr>
          <w:rFonts w:hint="eastAsia" w:ascii="宋体" w:hAnsi="宋体" w:eastAsia="宋体"/>
          <w:b/>
          <w:bCs/>
          <w:sz w:val="52"/>
          <w:szCs w:val="52"/>
        </w:rPr>
        <w:t>编制说明</w:t>
      </w:r>
    </w:p>
    <w:p>
      <w:pPr>
        <w:rPr>
          <w:rFonts w:hint="eastAsia" w:ascii="宋体" w:hAnsi="宋体" w:eastAsia="宋体"/>
          <w:sz w:val="28"/>
          <w:szCs w:val="28"/>
        </w:rPr>
      </w:pPr>
    </w:p>
    <w:p>
      <w:pPr>
        <w:rPr>
          <w:rFonts w:hint="eastAsia" w:ascii="宋体" w:hAnsi="宋体" w:eastAsia="宋体"/>
          <w:sz w:val="28"/>
          <w:szCs w:val="28"/>
        </w:rPr>
      </w:pPr>
    </w:p>
    <w:p>
      <w:pPr>
        <w:rPr>
          <w:rFonts w:hint="eastAsia" w:ascii="宋体" w:hAnsi="宋体" w:eastAsia="宋体"/>
          <w:sz w:val="28"/>
          <w:szCs w:val="28"/>
        </w:rPr>
      </w:pPr>
    </w:p>
    <w:p>
      <w:pPr>
        <w:rPr>
          <w:rFonts w:hint="eastAsia" w:ascii="宋体" w:hAnsi="宋体" w:eastAsia="宋体"/>
          <w:sz w:val="28"/>
          <w:szCs w:val="28"/>
        </w:rPr>
      </w:pPr>
    </w:p>
    <w:p>
      <w:pPr>
        <w:rPr>
          <w:rFonts w:hint="eastAsia" w:ascii="宋体" w:hAnsi="宋体" w:eastAsia="宋体"/>
          <w:sz w:val="28"/>
          <w:szCs w:val="28"/>
        </w:rPr>
      </w:pPr>
    </w:p>
    <w:p>
      <w:pPr>
        <w:rPr>
          <w:rFonts w:hint="eastAsia" w:ascii="宋体" w:hAnsi="宋体" w:eastAsia="宋体"/>
          <w:sz w:val="28"/>
          <w:szCs w:val="28"/>
        </w:rPr>
      </w:pPr>
    </w:p>
    <w:p>
      <w:pPr>
        <w:rPr>
          <w:rFonts w:hint="eastAsia" w:ascii="宋体" w:hAnsi="宋体" w:eastAsia="宋体"/>
          <w:sz w:val="28"/>
          <w:szCs w:val="28"/>
        </w:rPr>
      </w:pPr>
    </w:p>
    <w:p>
      <w:pPr>
        <w:jc w:val="center"/>
        <w:rPr>
          <w:rFonts w:ascii="Times New Roman" w:hAnsi="Times New Roman" w:eastAsia="宋体" w:cs="Times New Roman"/>
          <w:sz w:val="32"/>
          <w:szCs w:val="32"/>
        </w:rPr>
      </w:pPr>
      <w:r>
        <w:rPr>
          <w:rFonts w:ascii="Times New Roman" w:hAnsi="Times New Roman" w:eastAsia="宋体" w:cs="Times New Roman"/>
          <w:sz w:val="32"/>
          <w:szCs w:val="32"/>
        </w:rPr>
        <w:t>标准起草小组</w:t>
      </w:r>
    </w:p>
    <w:p>
      <w:pPr>
        <w:jc w:val="center"/>
        <w:rPr>
          <w:rFonts w:ascii="Times New Roman" w:hAnsi="Times New Roman" w:eastAsia="宋体" w:cs="Times New Roman"/>
          <w:sz w:val="36"/>
          <w:szCs w:val="36"/>
        </w:rPr>
      </w:pPr>
      <w:r>
        <w:rPr>
          <w:rFonts w:ascii="Times New Roman" w:hAnsi="Times New Roman" w:eastAsia="宋体" w:cs="Times New Roman"/>
          <w:sz w:val="36"/>
          <w:szCs w:val="36"/>
        </w:rPr>
        <w:t>2024年8月</w:t>
      </w:r>
    </w:p>
    <w:p>
      <w:pPr>
        <w:widowControl/>
        <w:jc w:val="left"/>
        <w:rPr>
          <w:rFonts w:hint="eastAsia" w:ascii="宋体" w:hAnsi="宋体" w:eastAsia="宋体"/>
          <w:sz w:val="28"/>
          <w:szCs w:val="28"/>
        </w:rPr>
      </w:pPr>
      <w:r>
        <w:rPr>
          <w:rFonts w:ascii="宋体" w:hAnsi="宋体" w:eastAsia="宋体"/>
          <w:sz w:val="28"/>
          <w:szCs w:val="28"/>
        </w:rPr>
        <w:br w:type="page"/>
      </w:r>
    </w:p>
    <w:sdt>
      <w:sdtPr>
        <w:rPr>
          <w:rFonts w:asciiTheme="minorHAnsi" w:hAnsiTheme="minorHAnsi" w:eastAsiaTheme="minorEastAsia" w:cstheme="minorBidi"/>
          <w:color w:val="auto"/>
          <w:kern w:val="2"/>
          <w:sz w:val="21"/>
          <w:szCs w:val="22"/>
          <w:lang w:val="zh-CN"/>
        </w:rPr>
        <w:id w:val="-1"/>
        <w:docPartObj>
          <w:docPartGallery w:val="Table of Contents"/>
          <w:docPartUnique/>
        </w:docPartObj>
      </w:sdtPr>
      <w:sdtEndPr>
        <w:rPr>
          <w:rFonts w:asciiTheme="minorHAnsi" w:hAnsiTheme="minorHAnsi" w:eastAsiaTheme="minorEastAsia" w:cstheme="minorBidi"/>
          <w:b/>
          <w:bCs/>
          <w:color w:val="auto"/>
          <w:kern w:val="2"/>
          <w:sz w:val="21"/>
          <w:szCs w:val="22"/>
          <w:lang w:val="zh-CN"/>
        </w:rPr>
      </w:sdtEndPr>
      <w:sdtContent>
        <w:p>
          <w:pPr>
            <w:pStyle w:val="16"/>
            <w:jc w:val="center"/>
            <w:rPr>
              <w:rFonts w:hint="eastAsia" w:ascii="黑体" w:hAnsi="黑体" w:eastAsia="黑体"/>
              <w:color w:val="auto"/>
              <w:sz w:val="28"/>
              <w:szCs w:val="28"/>
            </w:rPr>
          </w:pPr>
          <w:r>
            <w:rPr>
              <w:rFonts w:ascii="黑体" w:hAnsi="黑体" w:eastAsia="黑体"/>
              <w:color w:val="auto"/>
              <w:sz w:val="28"/>
              <w:szCs w:val="28"/>
            </w:rPr>
            <w:t>目录</w:t>
          </w:r>
          <w:bookmarkStart w:id="14" w:name="_GoBack"/>
          <w:bookmarkEnd w:id="14"/>
        </w:p>
        <w:p>
          <w:pPr>
            <w:pStyle w:val="7"/>
            <w:rPr>
              <w:rFonts w:hint="eastAsia"/>
              <w14:ligatures w14:val="standardContextual"/>
            </w:rPr>
          </w:pPr>
          <w:r>
            <w:fldChar w:fldCharType="begin"/>
          </w:r>
          <w:r>
            <w:instrText xml:space="preserve"> TOC \o "1-3" \h \z \u </w:instrText>
          </w:r>
          <w:r>
            <w:fldChar w:fldCharType="separate"/>
          </w:r>
          <w:r>
            <w:fldChar w:fldCharType="begin"/>
          </w:r>
          <w:r>
            <w:instrText xml:space="preserve"> HYPERLINK \l "_Toc174636789" </w:instrText>
          </w:r>
          <w:r>
            <w:fldChar w:fldCharType="separate"/>
          </w:r>
          <w:r>
            <w:rPr>
              <w:rStyle w:val="11"/>
              <w:rFonts w:ascii="黑体" w:hAnsi="黑体" w:eastAsia="黑体"/>
            </w:rPr>
            <w:t>1</w:t>
          </w:r>
          <w:r>
            <w:rPr>
              <w14:ligatures w14:val="standardContextual"/>
            </w:rPr>
            <w:tab/>
          </w:r>
          <w:r>
            <w:rPr>
              <w:rStyle w:val="11"/>
              <w:rFonts w:ascii="黑体" w:hAnsi="黑体" w:eastAsia="黑体"/>
            </w:rPr>
            <w:t>工作简况</w:t>
          </w:r>
          <w:r>
            <w:tab/>
          </w:r>
          <w:r>
            <w:fldChar w:fldCharType="begin"/>
          </w:r>
          <w:r>
            <w:instrText xml:space="preserve"> PAGEREF _Toc174636789 \h </w:instrText>
          </w:r>
          <w:r>
            <w:fldChar w:fldCharType="separate"/>
          </w:r>
          <w:r>
            <w:t>3</w:t>
          </w:r>
          <w:r>
            <w:fldChar w:fldCharType="end"/>
          </w:r>
          <w:r>
            <w:fldChar w:fldCharType="end"/>
          </w:r>
        </w:p>
        <w:p>
          <w:pPr>
            <w:pStyle w:val="8"/>
            <w:tabs>
              <w:tab w:val="left" w:pos="1050"/>
              <w:tab w:val="right" w:leader="dot" w:pos="8296"/>
            </w:tabs>
            <w:rPr>
              <w:rFonts w:hint="eastAsia"/>
              <w14:ligatures w14:val="standardContextual"/>
            </w:rPr>
          </w:pPr>
          <w:r>
            <w:fldChar w:fldCharType="begin"/>
          </w:r>
          <w:r>
            <w:instrText xml:space="preserve"> HYPERLINK \l "_Toc174636790" </w:instrText>
          </w:r>
          <w:r>
            <w:fldChar w:fldCharType="separate"/>
          </w:r>
          <w:r>
            <w:rPr>
              <w:rStyle w:val="11"/>
              <w:rFonts w:ascii="黑体" w:hAnsi="黑体" w:eastAsia="黑体"/>
            </w:rPr>
            <w:t>1.1</w:t>
          </w:r>
          <w:r>
            <w:rPr>
              <w14:ligatures w14:val="standardContextual"/>
            </w:rPr>
            <w:tab/>
          </w:r>
          <w:r>
            <w:rPr>
              <w:rStyle w:val="11"/>
              <w:rFonts w:ascii="黑体" w:hAnsi="黑体" w:eastAsia="黑体"/>
            </w:rPr>
            <w:t>立项目的和意义</w:t>
          </w:r>
          <w:r>
            <w:tab/>
          </w:r>
          <w:r>
            <w:fldChar w:fldCharType="begin"/>
          </w:r>
          <w:r>
            <w:instrText xml:space="preserve"> PAGEREF _Toc174636790 \h </w:instrText>
          </w:r>
          <w:r>
            <w:fldChar w:fldCharType="separate"/>
          </w:r>
          <w:r>
            <w:t>3</w:t>
          </w:r>
          <w:r>
            <w:fldChar w:fldCharType="end"/>
          </w:r>
          <w:r>
            <w:fldChar w:fldCharType="end"/>
          </w:r>
        </w:p>
        <w:p>
          <w:pPr>
            <w:pStyle w:val="8"/>
            <w:tabs>
              <w:tab w:val="left" w:pos="1050"/>
              <w:tab w:val="right" w:leader="dot" w:pos="8296"/>
            </w:tabs>
            <w:rPr>
              <w:rFonts w:hint="eastAsia"/>
              <w14:ligatures w14:val="standardContextual"/>
            </w:rPr>
          </w:pPr>
          <w:r>
            <w:fldChar w:fldCharType="begin"/>
          </w:r>
          <w:r>
            <w:instrText xml:space="preserve"> HYPERLINK \l "_Toc174636791" </w:instrText>
          </w:r>
          <w:r>
            <w:fldChar w:fldCharType="separate"/>
          </w:r>
          <w:r>
            <w:rPr>
              <w:rStyle w:val="11"/>
              <w:rFonts w:ascii="黑体" w:hAnsi="黑体" w:eastAsia="黑体"/>
            </w:rPr>
            <w:t>1.2</w:t>
          </w:r>
          <w:r>
            <w:rPr>
              <w14:ligatures w14:val="standardContextual"/>
            </w:rPr>
            <w:tab/>
          </w:r>
          <w:r>
            <w:rPr>
              <w:rStyle w:val="11"/>
              <w:rFonts w:ascii="黑体" w:hAnsi="黑体" w:eastAsia="黑体"/>
            </w:rPr>
            <w:t>任务来源</w:t>
          </w:r>
          <w:r>
            <w:tab/>
          </w:r>
          <w:r>
            <w:fldChar w:fldCharType="begin"/>
          </w:r>
          <w:r>
            <w:instrText xml:space="preserve"> PAGEREF _Toc174636791 \h </w:instrText>
          </w:r>
          <w:r>
            <w:fldChar w:fldCharType="separate"/>
          </w:r>
          <w:r>
            <w:t>4</w:t>
          </w:r>
          <w:r>
            <w:fldChar w:fldCharType="end"/>
          </w:r>
          <w:r>
            <w:fldChar w:fldCharType="end"/>
          </w:r>
        </w:p>
        <w:p>
          <w:pPr>
            <w:pStyle w:val="7"/>
            <w:rPr>
              <w:rFonts w:hint="eastAsia"/>
              <w14:ligatures w14:val="standardContextual"/>
            </w:rPr>
          </w:pPr>
          <w:r>
            <w:fldChar w:fldCharType="begin"/>
          </w:r>
          <w:r>
            <w:instrText xml:space="preserve"> HYPERLINK \l "_Toc174636794" </w:instrText>
          </w:r>
          <w:r>
            <w:fldChar w:fldCharType="separate"/>
          </w:r>
          <w:r>
            <w:rPr>
              <w:rStyle w:val="11"/>
              <w:rFonts w:ascii="黑体" w:hAnsi="黑体" w:eastAsia="黑体"/>
            </w:rPr>
            <w:t>2</w:t>
          </w:r>
          <w:r>
            <w:rPr>
              <w14:ligatures w14:val="standardContextual"/>
            </w:rPr>
            <w:tab/>
          </w:r>
          <w:r>
            <w:rPr>
              <w:rStyle w:val="11"/>
              <w:rFonts w:ascii="黑体" w:hAnsi="黑体" w:eastAsia="黑体"/>
            </w:rPr>
            <w:t>标准编制原则</w:t>
          </w:r>
          <w:r>
            <w:tab/>
          </w:r>
          <w:r>
            <w:fldChar w:fldCharType="begin"/>
          </w:r>
          <w:r>
            <w:instrText xml:space="preserve"> PAGEREF _Toc174636794 \h </w:instrText>
          </w:r>
          <w:r>
            <w:fldChar w:fldCharType="separate"/>
          </w:r>
          <w:r>
            <w:t>5</w:t>
          </w:r>
          <w:r>
            <w:fldChar w:fldCharType="end"/>
          </w:r>
          <w:r>
            <w:fldChar w:fldCharType="end"/>
          </w:r>
        </w:p>
        <w:p>
          <w:pPr>
            <w:pStyle w:val="7"/>
            <w:rPr>
              <w:rFonts w:hint="eastAsia"/>
              <w14:ligatures w14:val="standardContextual"/>
            </w:rPr>
          </w:pPr>
          <w:r>
            <w:fldChar w:fldCharType="begin"/>
          </w:r>
          <w:r>
            <w:instrText xml:space="preserve"> HYPERLINK \l "_Toc174636795" </w:instrText>
          </w:r>
          <w:r>
            <w:fldChar w:fldCharType="separate"/>
          </w:r>
          <w:r>
            <w:rPr>
              <w:rStyle w:val="11"/>
              <w:rFonts w:ascii="黑体" w:hAnsi="黑体" w:eastAsia="黑体"/>
            </w:rPr>
            <w:t>3</w:t>
          </w:r>
          <w:r>
            <w:rPr>
              <w14:ligatures w14:val="standardContextual"/>
            </w:rPr>
            <w:tab/>
          </w:r>
          <w:r>
            <w:rPr>
              <w:rStyle w:val="11"/>
              <w:rFonts w:ascii="黑体" w:hAnsi="黑体" w:eastAsia="黑体"/>
            </w:rPr>
            <w:t>标准核心技术内容及应用情况</w:t>
          </w:r>
          <w:r>
            <w:tab/>
          </w:r>
          <w:r>
            <w:fldChar w:fldCharType="begin"/>
          </w:r>
          <w:r>
            <w:instrText xml:space="preserve"> PAGEREF _Toc174636795 \h </w:instrText>
          </w:r>
          <w:r>
            <w:fldChar w:fldCharType="separate"/>
          </w:r>
          <w:r>
            <w:t>5</w:t>
          </w:r>
          <w:r>
            <w:fldChar w:fldCharType="end"/>
          </w:r>
          <w:r>
            <w:fldChar w:fldCharType="end"/>
          </w:r>
        </w:p>
        <w:p>
          <w:pPr>
            <w:pStyle w:val="8"/>
            <w:tabs>
              <w:tab w:val="left" w:pos="1050"/>
              <w:tab w:val="right" w:leader="dot" w:pos="8296"/>
            </w:tabs>
            <w:rPr>
              <w:rFonts w:hint="eastAsia"/>
              <w14:ligatures w14:val="standardContextual"/>
            </w:rPr>
          </w:pPr>
          <w:r>
            <w:fldChar w:fldCharType="begin"/>
          </w:r>
          <w:r>
            <w:instrText xml:space="preserve"> HYPERLINK \l "_Toc174636796" </w:instrText>
          </w:r>
          <w:r>
            <w:fldChar w:fldCharType="separate"/>
          </w:r>
          <w:r>
            <w:rPr>
              <w:rStyle w:val="11"/>
              <w:rFonts w:ascii="黑体" w:hAnsi="黑体" w:eastAsia="黑体"/>
            </w:rPr>
            <w:t>3.1</w:t>
          </w:r>
          <w:r>
            <w:rPr>
              <w14:ligatures w14:val="standardContextual"/>
            </w:rPr>
            <w:tab/>
          </w:r>
          <w:r>
            <w:rPr>
              <w:rStyle w:val="11"/>
              <w:rFonts w:ascii="黑体" w:hAnsi="黑体" w:eastAsia="黑体"/>
            </w:rPr>
            <w:t>标准制定的适用范围</w:t>
          </w:r>
          <w:r>
            <w:tab/>
          </w:r>
          <w:r>
            <w:fldChar w:fldCharType="begin"/>
          </w:r>
          <w:r>
            <w:instrText xml:space="preserve"> PAGEREF _Toc174636796 \h </w:instrText>
          </w:r>
          <w:r>
            <w:fldChar w:fldCharType="separate"/>
          </w:r>
          <w:r>
            <w:t>5</w:t>
          </w:r>
          <w:r>
            <w:fldChar w:fldCharType="end"/>
          </w:r>
          <w:r>
            <w:fldChar w:fldCharType="end"/>
          </w:r>
        </w:p>
        <w:p>
          <w:pPr>
            <w:pStyle w:val="8"/>
            <w:tabs>
              <w:tab w:val="left" w:pos="1050"/>
              <w:tab w:val="right" w:leader="dot" w:pos="8296"/>
            </w:tabs>
            <w:rPr>
              <w:rFonts w:hint="eastAsia"/>
              <w14:ligatures w14:val="standardContextual"/>
            </w:rPr>
          </w:pPr>
          <w:r>
            <w:fldChar w:fldCharType="begin"/>
          </w:r>
          <w:r>
            <w:instrText xml:space="preserve"> HYPERLINK \l "_Toc174636797" </w:instrText>
          </w:r>
          <w:r>
            <w:fldChar w:fldCharType="separate"/>
          </w:r>
          <w:r>
            <w:rPr>
              <w:rStyle w:val="11"/>
              <w:rFonts w:ascii="黑体" w:hAnsi="黑体" w:eastAsia="黑体"/>
            </w:rPr>
            <w:t>3.2</w:t>
          </w:r>
          <w:r>
            <w:rPr>
              <w14:ligatures w14:val="standardContextual"/>
            </w:rPr>
            <w:tab/>
          </w:r>
          <w:r>
            <w:rPr>
              <w:rStyle w:val="11"/>
              <w:rFonts w:ascii="黑体" w:hAnsi="黑体" w:eastAsia="黑体"/>
            </w:rPr>
            <w:t>主要内容及其确定依据</w:t>
          </w:r>
          <w:r>
            <w:tab/>
          </w:r>
          <w:r>
            <w:fldChar w:fldCharType="begin"/>
          </w:r>
          <w:r>
            <w:instrText xml:space="preserve"> PAGEREF _Toc174636797 \h </w:instrText>
          </w:r>
          <w:r>
            <w:fldChar w:fldCharType="separate"/>
          </w:r>
          <w:r>
            <w:t>6</w:t>
          </w:r>
          <w:r>
            <w:fldChar w:fldCharType="end"/>
          </w:r>
          <w:r>
            <w:fldChar w:fldCharType="end"/>
          </w:r>
        </w:p>
        <w:p>
          <w:pPr>
            <w:pStyle w:val="7"/>
            <w:rPr>
              <w:rFonts w:hint="eastAsia"/>
              <w14:ligatures w14:val="standardContextual"/>
            </w:rPr>
          </w:pPr>
          <w:r>
            <w:fldChar w:fldCharType="begin"/>
          </w:r>
          <w:r>
            <w:instrText xml:space="preserve"> HYPERLINK \l "_Toc174636798" </w:instrText>
          </w:r>
          <w:r>
            <w:fldChar w:fldCharType="separate"/>
          </w:r>
          <w:r>
            <w:rPr>
              <w:rStyle w:val="11"/>
              <w:rFonts w:ascii="黑体" w:hAnsi="黑体" w:eastAsia="黑体"/>
            </w:rPr>
            <w:t>4</w:t>
          </w:r>
          <w:r>
            <w:rPr>
              <w14:ligatures w14:val="standardContextual"/>
            </w:rPr>
            <w:tab/>
          </w:r>
          <w:r>
            <w:rPr>
              <w:rStyle w:val="11"/>
              <w:rFonts w:ascii="黑体" w:hAnsi="黑体" w:eastAsia="黑体"/>
            </w:rPr>
            <w:t>标准中涉及专利的情况</w:t>
          </w:r>
          <w:r>
            <w:tab/>
          </w:r>
          <w:r>
            <w:fldChar w:fldCharType="begin"/>
          </w:r>
          <w:r>
            <w:instrText xml:space="preserve"> PAGEREF _Toc174636798 \h </w:instrText>
          </w:r>
          <w:r>
            <w:fldChar w:fldCharType="separate"/>
          </w:r>
          <w:r>
            <w:t>6</w:t>
          </w:r>
          <w:r>
            <w:fldChar w:fldCharType="end"/>
          </w:r>
          <w:r>
            <w:fldChar w:fldCharType="end"/>
          </w:r>
        </w:p>
        <w:p>
          <w:pPr>
            <w:pStyle w:val="7"/>
            <w:rPr>
              <w:rFonts w:hint="eastAsia"/>
              <w14:ligatures w14:val="standardContextual"/>
            </w:rPr>
          </w:pPr>
          <w:r>
            <w:fldChar w:fldCharType="begin"/>
          </w:r>
          <w:r>
            <w:instrText xml:space="preserve"> HYPERLINK \l "_Toc174636799" </w:instrText>
          </w:r>
          <w:r>
            <w:fldChar w:fldCharType="separate"/>
          </w:r>
          <w:r>
            <w:rPr>
              <w:rStyle w:val="11"/>
              <w:rFonts w:ascii="黑体" w:hAnsi="黑体" w:eastAsia="黑体"/>
            </w:rPr>
            <w:t>5</w:t>
          </w:r>
          <w:r>
            <w:rPr>
              <w14:ligatures w14:val="standardContextual"/>
            </w:rPr>
            <w:tab/>
          </w:r>
          <w:r>
            <w:rPr>
              <w:rStyle w:val="11"/>
              <w:rFonts w:ascii="黑体" w:hAnsi="黑体" w:eastAsia="黑体"/>
            </w:rPr>
            <w:t>采用国际标准和国外先进标准的情况</w:t>
          </w:r>
          <w:r>
            <w:tab/>
          </w:r>
          <w:r>
            <w:fldChar w:fldCharType="begin"/>
          </w:r>
          <w:r>
            <w:instrText xml:space="preserve"> PAGEREF _Toc174636799 \h </w:instrText>
          </w:r>
          <w:r>
            <w:fldChar w:fldCharType="separate"/>
          </w:r>
          <w:r>
            <w:t>6</w:t>
          </w:r>
          <w:r>
            <w:fldChar w:fldCharType="end"/>
          </w:r>
          <w:r>
            <w:fldChar w:fldCharType="end"/>
          </w:r>
        </w:p>
        <w:p>
          <w:pPr>
            <w:pStyle w:val="7"/>
            <w:rPr>
              <w:rFonts w:hint="eastAsia"/>
              <w14:ligatures w14:val="standardContextual"/>
            </w:rPr>
          </w:pPr>
          <w:r>
            <w:fldChar w:fldCharType="begin"/>
          </w:r>
          <w:r>
            <w:instrText xml:space="preserve"> HYPERLINK \l "_Toc174636800" </w:instrText>
          </w:r>
          <w:r>
            <w:fldChar w:fldCharType="separate"/>
          </w:r>
          <w:r>
            <w:rPr>
              <w:rStyle w:val="11"/>
              <w:rFonts w:ascii="黑体" w:hAnsi="黑体" w:eastAsia="黑体"/>
            </w:rPr>
            <w:t>6</w:t>
          </w:r>
          <w:r>
            <w:rPr>
              <w14:ligatures w14:val="standardContextual"/>
            </w:rPr>
            <w:tab/>
          </w:r>
          <w:r>
            <w:rPr>
              <w:rStyle w:val="11"/>
              <w:rFonts w:ascii="黑体" w:hAnsi="黑体" w:eastAsia="黑体"/>
            </w:rPr>
            <w:t>与现行法律、法规、强制性国家标准及相关标准的关系</w:t>
          </w:r>
          <w:r>
            <w:tab/>
          </w:r>
          <w:r>
            <w:fldChar w:fldCharType="begin"/>
          </w:r>
          <w:r>
            <w:instrText xml:space="preserve"> PAGEREF _Toc174636800 \h </w:instrText>
          </w:r>
          <w:r>
            <w:fldChar w:fldCharType="separate"/>
          </w:r>
          <w:r>
            <w:t>6</w:t>
          </w:r>
          <w:r>
            <w:fldChar w:fldCharType="end"/>
          </w:r>
          <w:r>
            <w:fldChar w:fldCharType="end"/>
          </w:r>
        </w:p>
        <w:p>
          <w:pPr>
            <w:pStyle w:val="7"/>
            <w:rPr>
              <w:rFonts w:hint="eastAsia"/>
              <w14:ligatures w14:val="standardContextual"/>
            </w:rPr>
          </w:pPr>
          <w:r>
            <w:fldChar w:fldCharType="begin"/>
          </w:r>
          <w:r>
            <w:instrText xml:space="preserve"> HYPERLINK \l "_Toc174636801" </w:instrText>
          </w:r>
          <w:r>
            <w:fldChar w:fldCharType="separate"/>
          </w:r>
          <w:r>
            <w:rPr>
              <w:rStyle w:val="11"/>
              <w:rFonts w:ascii="黑体" w:hAnsi="黑体" w:eastAsia="黑体"/>
            </w:rPr>
            <w:t>7</w:t>
          </w:r>
          <w:r>
            <w:rPr>
              <w14:ligatures w14:val="standardContextual"/>
            </w:rPr>
            <w:tab/>
          </w:r>
          <w:r>
            <w:rPr>
              <w:rStyle w:val="11"/>
              <w:rFonts w:ascii="黑体" w:hAnsi="黑体" w:eastAsia="黑体"/>
            </w:rPr>
            <w:t>重大分歧意见的处理和依据</w:t>
          </w:r>
          <w:r>
            <w:tab/>
          </w:r>
          <w:r>
            <w:fldChar w:fldCharType="begin"/>
          </w:r>
          <w:r>
            <w:instrText xml:space="preserve"> PAGEREF _Toc174636801 \h </w:instrText>
          </w:r>
          <w:r>
            <w:fldChar w:fldCharType="separate"/>
          </w:r>
          <w:r>
            <w:t>7</w:t>
          </w:r>
          <w:r>
            <w:fldChar w:fldCharType="end"/>
          </w:r>
          <w:r>
            <w:fldChar w:fldCharType="end"/>
          </w:r>
        </w:p>
        <w:p>
          <w:pPr>
            <w:pStyle w:val="7"/>
            <w:rPr>
              <w:rFonts w:hint="eastAsia"/>
              <w14:ligatures w14:val="standardContextual"/>
            </w:rPr>
          </w:pPr>
          <w:r>
            <w:fldChar w:fldCharType="begin"/>
          </w:r>
          <w:r>
            <w:instrText xml:space="preserve"> HYPERLINK \l "_Toc174636802" </w:instrText>
          </w:r>
          <w:r>
            <w:fldChar w:fldCharType="separate"/>
          </w:r>
          <w:r>
            <w:rPr>
              <w:rStyle w:val="11"/>
              <w:rFonts w:ascii="黑体" w:hAnsi="黑体" w:eastAsia="黑体"/>
            </w:rPr>
            <w:t>8</w:t>
          </w:r>
          <w:r>
            <w:rPr>
              <w14:ligatures w14:val="standardContextual"/>
            </w:rPr>
            <w:tab/>
          </w:r>
          <w:r>
            <w:rPr>
              <w:rStyle w:val="11"/>
              <w:rFonts w:ascii="黑体" w:hAnsi="黑体" w:eastAsia="黑体"/>
            </w:rPr>
            <w:t>贯彻标准的要求和措施建议</w:t>
          </w:r>
          <w:r>
            <w:tab/>
          </w:r>
          <w:r>
            <w:fldChar w:fldCharType="begin"/>
          </w:r>
          <w:r>
            <w:instrText xml:space="preserve"> PAGEREF _Toc174636802 \h </w:instrText>
          </w:r>
          <w:r>
            <w:fldChar w:fldCharType="separate"/>
          </w:r>
          <w:r>
            <w:t>7</w:t>
          </w:r>
          <w:r>
            <w:fldChar w:fldCharType="end"/>
          </w:r>
          <w:r>
            <w:fldChar w:fldCharType="end"/>
          </w:r>
        </w:p>
        <w:p>
          <w:pPr>
            <w:pStyle w:val="7"/>
            <w:rPr>
              <w:rFonts w:hint="eastAsia"/>
              <w14:ligatures w14:val="standardContextual"/>
            </w:rPr>
          </w:pPr>
          <w:r>
            <w:fldChar w:fldCharType="begin"/>
          </w:r>
          <w:r>
            <w:instrText xml:space="preserve"> HYPERLINK \l "_Toc174636803" </w:instrText>
          </w:r>
          <w:r>
            <w:fldChar w:fldCharType="separate"/>
          </w:r>
          <w:r>
            <w:rPr>
              <w:rStyle w:val="11"/>
              <w:rFonts w:ascii="黑体" w:hAnsi="黑体" w:eastAsia="黑体"/>
            </w:rPr>
            <w:t>9</w:t>
          </w:r>
          <w:r>
            <w:rPr>
              <w14:ligatures w14:val="standardContextual"/>
            </w:rPr>
            <w:tab/>
          </w:r>
          <w:r>
            <w:rPr>
              <w:rStyle w:val="11"/>
              <w:rFonts w:ascii="黑体" w:hAnsi="黑体" w:eastAsia="黑体"/>
            </w:rPr>
            <w:t>其他应予说明的事项</w:t>
          </w:r>
          <w:r>
            <w:tab/>
          </w:r>
          <w:r>
            <w:fldChar w:fldCharType="begin"/>
          </w:r>
          <w:r>
            <w:instrText xml:space="preserve"> PAGEREF _Toc174636803 \h </w:instrText>
          </w:r>
          <w:r>
            <w:fldChar w:fldCharType="separate"/>
          </w:r>
          <w:r>
            <w:t>7</w:t>
          </w:r>
          <w:r>
            <w:fldChar w:fldCharType="end"/>
          </w:r>
          <w:r>
            <w:fldChar w:fldCharType="end"/>
          </w:r>
        </w:p>
        <w:p>
          <w:pPr>
            <w:pStyle w:val="7"/>
            <w:rPr>
              <w:rFonts w:hint="eastAsia"/>
              <w14:ligatures w14:val="standardContextual"/>
            </w:rPr>
          </w:pPr>
          <w:r>
            <w:fldChar w:fldCharType="begin"/>
          </w:r>
          <w:r>
            <w:instrText xml:space="preserve"> HYPERLINK \l "_Toc174636804" </w:instrText>
          </w:r>
          <w:r>
            <w:fldChar w:fldCharType="separate"/>
          </w:r>
          <w:r>
            <w:rPr>
              <w:rStyle w:val="11"/>
              <w:rFonts w:ascii="黑体" w:hAnsi="黑体" w:eastAsia="黑体"/>
            </w:rPr>
            <w:t>10</w:t>
          </w:r>
          <w:r>
            <w:rPr>
              <w14:ligatures w14:val="standardContextual"/>
            </w:rPr>
            <w:tab/>
          </w:r>
          <w:r>
            <w:rPr>
              <w:rStyle w:val="11"/>
              <w:rFonts w:ascii="黑体" w:hAnsi="黑体" w:eastAsia="黑体"/>
            </w:rPr>
            <w:t>预期效果</w:t>
          </w:r>
          <w:r>
            <w:tab/>
          </w:r>
          <w:r>
            <w:fldChar w:fldCharType="begin"/>
          </w:r>
          <w:r>
            <w:instrText xml:space="preserve"> PAGEREF _Toc174636804 \h </w:instrText>
          </w:r>
          <w:r>
            <w:fldChar w:fldCharType="separate"/>
          </w:r>
          <w:r>
            <w:t>7</w:t>
          </w:r>
          <w:r>
            <w:fldChar w:fldCharType="end"/>
          </w:r>
          <w:r>
            <w:fldChar w:fldCharType="end"/>
          </w:r>
        </w:p>
        <w:p>
          <w:pPr>
            <w:spacing w:line="360" w:lineRule="auto"/>
            <w:rPr>
              <w:rFonts w:hint="eastAsia"/>
              <w:b/>
              <w:bCs/>
              <w:lang w:val="zh-CN"/>
            </w:rPr>
          </w:pPr>
          <w:r>
            <w:rPr>
              <w:b/>
              <w:bCs/>
              <w:lang w:val="zh-CN"/>
            </w:rPr>
            <w:fldChar w:fldCharType="end"/>
          </w:r>
        </w:p>
        <w:p>
          <w:pPr>
            <w:spacing w:line="360" w:lineRule="auto"/>
            <w:rPr>
              <w:rFonts w:hint="eastAsia"/>
            </w:rPr>
          </w:pPr>
        </w:p>
      </w:sdtContent>
    </w:sdt>
    <w:p>
      <w:pPr>
        <w:widowControl/>
        <w:jc w:val="left"/>
        <w:rPr>
          <w:rFonts w:hint="eastAsia"/>
        </w:rPr>
      </w:pPr>
      <w:r>
        <w:rPr>
          <w:b/>
          <w:bCs/>
        </w:rPr>
        <w:br w:type="page"/>
      </w:r>
    </w:p>
    <w:p>
      <w:pPr>
        <w:pStyle w:val="2"/>
        <w:numPr>
          <w:ilvl w:val="0"/>
          <w:numId w:val="1"/>
        </w:numPr>
        <w:spacing w:before="0" w:after="0"/>
        <w:rPr>
          <w:rFonts w:hint="eastAsia" w:ascii="黑体" w:hAnsi="黑体" w:eastAsia="黑体"/>
          <w:b w:val="0"/>
          <w:bCs w:val="0"/>
          <w:sz w:val="32"/>
          <w:szCs w:val="32"/>
        </w:rPr>
      </w:pPr>
      <w:bookmarkStart w:id="0" w:name="_Toc174636789"/>
      <w:r>
        <w:rPr>
          <w:rFonts w:hint="eastAsia" w:ascii="黑体" w:hAnsi="黑体" w:eastAsia="黑体"/>
          <w:b w:val="0"/>
          <w:bCs w:val="0"/>
          <w:sz w:val="32"/>
          <w:szCs w:val="32"/>
        </w:rPr>
        <w:t>工作简况</w:t>
      </w:r>
      <w:bookmarkEnd w:id="0"/>
    </w:p>
    <w:p>
      <w:pPr>
        <w:pStyle w:val="3"/>
        <w:numPr>
          <w:ilvl w:val="1"/>
          <w:numId w:val="1"/>
        </w:numPr>
        <w:spacing w:before="0" w:after="0"/>
        <w:ind w:left="567"/>
        <w:rPr>
          <w:rFonts w:hint="eastAsia" w:ascii="黑体" w:hAnsi="黑体" w:eastAsia="黑体"/>
          <w:b w:val="0"/>
          <w:bCs w:val="0"/>
          <w:sz w:val="28"/>
          <w:szCs w:val="28"/>
        </w:rPr>
      </w:pPr>
      <w:bookmarkStart w:id="1" w:name="_Toc174636790"/>
      <w:r>
        <w:rPr>
          <w:rFonts w:hint="eastAsia" w:ascii="黑体" w:hAnsi="黑体" w:eastAsia="黑体"/>
          <w:b w:val="0"/>
          <w:bCs w:val="0"/>
          <w:sz w:val="28"/>
          <w:szCs w:val="28"/>
        </w:rPr>
        <w:t>立项目的和意义</w:t>
      </w:r>
      <w:bookmarkEnd w:id="1"/>
    </w:p>
    <w:p>
      <w:pPr>
        <w:widowControl/>
        <w:ind w:firstLine="560" w:firstLineChars="200"/>
        <w:rPr>
          <w:rFonts w:hint="eastAsia" w:ascii="宋体" w:hAnsi="宋体" w:eastAsia="宋体"/>
          <w:sz w:val="28"/>
          <w:szCs w:val="28"/>
        </w:rPr>
      </w:pPr>
      <w:r>
        <w:rPr>
          <w:rFonts w:hint="eastAsia" w:ascii="宋体" w:hAnsi="宋体" w:eastAsia="宋体"/>
          <w:sz w:val="28"/>
          <w:szCs w:val="28"/>
        </w:rPr>
        <w:t>随着近年来数字化、网络化、智能化的迅猛发展，数字产品已经深入到我们生活的方方面面，从智能手机、平板电脑到智能家居，再到各种线上服务和应用，数字产品正以前所未有的速度改变着我们的生活方式。据《数字中国发展报告（</w:t>
      </w:r>
      <w:r>
        <w:rPr>
          <w:rFonts w:ascii="宋体" w:hAnsi="宋体" w:eastAsia="宋体"/>
          <w:sz w:val="28"/>
          <w:szCs w:val="28"/>
        </w:rPr>
        <w:t>2022年）》数据，2022年数字经济规模达到50.2万亿元，同比名义增长10.3%，占GDP比重达到41.5%。</w:t>
      </w:r>
    </w:p>
    <w:p>
      <w:pPr>
        <w:widowControl/>
        <w:ind w:firstLine="560" w:firstLineChars="200"/>
        <w:rPr>
          <w:rFonts w:hint="eastAsia" w:ascii="宋体" w:hAnsi="宋体" w:eastAsia="宋体"/>
          <w:sz w:val="28"/>
          <w:szCs w:val="28"/>
        </w:rPr>
      </w:pPr>
      <w:r>
        <w:rPr>
          <w:rFonts w:hint="eastAsia" w:ascii="宋体" w:hAnsi="宋体" w:eastAsia="宋体"/>
          <w:sz w:val="28"/>
          <w:szCs w:val="28"/>
        </w:rPr>
        <w:t>数字技术的发展和数字产品的应用，使信息获取更加便捷，数据处理更加高效，创新变得更容易，生活变得更智能化，并推动了社会的数字化转型。然而，我们也要认识到数字技术所带来的挑战和风险，个人信息和数据泄露带来个人隐私保护风险、算法推荐加剧“信息茧房”、人工智能技术带来伦理安全风险等等。</w:t>
      </w:r>
    </w:p>
    <w:p>
      <w:pPr>
        <w:widowControl/>
        <w:ind w:firstLine="560" w:firstLineChars="200"/>
        <w:rPr>
          <w:rFonts w:hint="eastAsia" w:ascii="宋体" w:hAnsi="宋体" w:eastAsia="宋体"/>
          <w:sz w:val="28"/>
          <w:szCs w:val="28"/>
        </w:rPr>
      </w:pPr>
      <w:r>
        <w:rPr>
          <w:rFonts w:hint="eastAsia" w:ascii="宋体" w:hAnsi="宋体" w:eastAsia="宋体"/>
          <w:sz w:val="28"/>
          <w:szCs w:val="28"/>
        </w:rPr>
        <w:t>推进数字中国建设，必须切实维护网络和数据安全。《中华人民共和国网络安全法》、《中华人民共和国数据安全法》、《中华人民共和国个人信息保护法》等法律法规的出台，为数据安全提供了法律框架和明确要求，强化了数据分类分级保护、风险评估、应急处置、安全审查等制度措施，确保数据的合法收集、存储、使用和传输。</w:t>
      </w:r>
    </w:p>
    <w:p>
      <w:pPr>
        <w:widowControl/>
        <w:ind w:firstLine="560" w:firstLineChars="200"/>
        <w:rPr>
          <w:rFonts w:hint="eastAsia" w:ascii="宋体" w:hAnsi="宋体" w:eastAsia="宋体"/>
          <w:sz w:val="28"/>
          <w:szCs w:val="28"/>
        </w:rPr>
      </w:pPr>
      <w:r>
        <w:rPr>
          <w:rFonts w:hint="eastAsia" w:ascii="宋体" w:hAnsi="宋体" w:eastAsia="宋体"/>
          <w:sz w:val="28"/>
          <w:szCs w:val="28"/>
        </w:rPr>
        <w:t>当前，数字产品的种类越来越多样化，涵盖了智能手机、平板电脑、智能手表、智能家居设备等多个领域。这些产品不仅满足了人们的基本通信和娱乐需求，还在健康监测、教育、生活便捷化等方面提供了更多可能性。与此同时，数字产品存在诸多网络安全和数据安全风险。主要表现在，一是数字产品提供者为了提高市场份额，较为注重产品的功能和性能，对网络安全和数据安全的重要性认识不足，安全功能不能完全满足合规要求；二是数字产品提供者在收集用户数据时往往缺乏充分的透明度，用户对于自己的数据如何被收集、使用和共享通常了解不足。这种不透明性导致用户难以做出知情同意，也难以有效控制自己的个人信息；三是数字产品提供者存在滥采滥用用户个人信息的问题，例如，过度索取用户权限、收集非必要个人信息等，这些问题不仅侵犯了用户的隐私权，还可能导致个人信息的泄露和滥用；四是网络安全保护、数据保护措施不足，随着数字技术的快速发展，新的安全威胁不断出现，而数字产品提供者在应对新威胁投入不足，用户数据存在安全风险；五是用户隐私权益在数字产品使用过程中容易受到侵犯，尤其是在大数据杀熟、个性化推荐等方面，用户的隐私权益保护措施往往不够充分；六是目前国内数字产品安全标准相对缺乏，不能满足企业和用户的安全需求。</w:t>
      </w:r>
    </w:p>
    <w:p>
      <w:pPr>
        <w:widowControl/>
        <w:ind w:firstLine="560" w:firstLineChars="200"/>
        <w:rPr>
          <w:rFonts w:hint="eastAsia" w:ascii="宋体" w:hAnsi="宋体" w:eastAsia="宋体"/>
          <w:sz w:val="28"/>
          <w:szCs w:val="28"/>
        </w:rPr>
      </w:pPr>
      <w:r>
        <w:rPr>
          <w:rFonts w:hint="eastAsia" w:ascii="宋体" w:hAnsi="宋体" w:eastAsia="宋体"/>
          <w:sz w:val="28"/>
          <w:szCs w:val="28"/>
        </w:rPr>
        <w:t>为落实国家法律法规要求，满足企业、用户的网络安全、数据安全需求，提高数字产品的网络安全保护能力，维护企业、用户的合法权益，有必要制订数字产品网络安全要求相关的标准。</w:t>
      </w:r>
    </w:p>
    <w:p>
      <w:pPr>
        <w:pStyle w:val="3"/>
        <w:numPr>
          <w:ilvl w:val="1"/>
          <w:numId w:val="1"/>
        </w:numPr>
        <w:spacing w:before="0" w:after="0"/>
        <w:ind w:left="567"/>
        <w:rPr>
          <w:rFonts w:hint="eastAsia" w:ascii="黑体" w:hAnsi="黑体" w:eastAsia="黑体"/>
          <w:b w:val="0"/>
          <w:bCs w:val="0"/>
          <w:sz w:val="28"/>
          <w:szCs w:val="28"/>
        </w:rPr>
      </w:pPr>
      <w:bookmarkStart w:id="2" w:name="_Toc174636791"/>
      <w:r>
        <w:rPr>
          <w:rFonts w:hint="eastAsia" w:ascii="黑体" w:hAnsi="黑体" w:eastAsia="黑体"/>
          <w:b w:val="0"/>
          <w:bCs w:val="0"/>
          <w:sz w:val="28"/>
          <w:szCs w:val="28"/>
        </w:rPr>
        <w:t>任务来源</w:t>
      </w:r>
      <w:bookmarkEnd w:id="2"/>
    </w:p>
    <w:p>
      <w:pPr>
        <w:widowControl/>
        <w:ind w:firstLine="560" w:firstLineChars="200"/>
        <w:rPr>
          <w:rFonts w:hint="eastAsia" w:ascii="宋体" w:hAnsi="宋体" w:eastAsia="宋体"/>
          <w:sz w:val="28"/>
          <w:szCs w:val="28"/>
        </w:rPr>
      </w:pPr>
      <w:r>
        <w:rPr>
          <w:rFonts w:hint="eastAsia" w:ascii="宋体" w:hAnsi="宋体" w:eastAsia="宋体"/>
          <w:sz w:val="28"/>
          <w:szCs w:val="28"/>
        </w:rPr>
        <w:t>根据《中国出入境检验检疫协会关于批准</w:t>
      </w:r>
      <w:r>
        <w:rPr>
          <w:rFonts w:ascii="宋体" w:hAnsi="宋体" w:eastAsia="宋体"/>
          <w:sz w:val="28"/>
          <w:szCs w:val="28"/>
        </w:rPr>
        <w:t>&lt;</w:t>
      </w:r>
      <w:r>
        <w:rPr>
          <w:rFonts w:hint="eastAsia" w:ascii="宋体" w:hAnsi="宋体" w:eastAsia="宋体"/>
          <w:sz w:val="28"/>
          <w:szCs w:val="28"/>
        </w:rPr>
        <w:t>数字产品网络安全</w:t>
      </w:r>
      <w:r>
        <w:rPr>
          <w:rFonts w:ascii="宋体" w:hAnsi="宋体" w:eastAsia="宋体"/>
          <w:sz w:val="28"/>
          <w:szCs w:val="28"/>
        </w:rPr>
        <w:t>要求&gt;等3 项团体标准立项的通知》（中检协标（2024）15 号），《</w:t>
      </w:r>
      <w:r>
        <w:rPr>
          <w:rFonts w:hint="eastAsia" w:ascii="宋体" w:hAnsi="宋体" w:eastAsia="宋体"/>
          <w:sz w:val="28"/>
          <w:szCs w:val="28"/>
        </w:rPr>
        <w:t>数字产品网络安全要求》（立项编号：P/CIQA-198-2024</w:t>
      </w:r>
      <w:r>
        <w:rPr>
          <w:rFonts w:ascii="宋体" w:hAnsi="宋体" w:eastAsia="宋体"/>
          <w:sz w:val="28"/>
          <w:szCs w:val="28"/>
        </w:rPr>
        <w:t>）团体标准于 2024年6月28日由中国</w:t>
      </w:r>
      <w:r>
        <w:rPr>
          <w:rFonts w:hint="eastAsia" w:ascii="宋体" w:hAnsi="宋体" w:eastAsia="宋体"/>
          <w:sz w:val="28"/>
          <w:szCs w:val="28"/>
        </w:rPr>
        <w:t>出入境检验检疫协会标准化委员会批准立项，该标准牵头单位是中国软件评测中心，归口单位是中国出入境检验检疫协会。</w:t>
      </w:r>
    </w:p>
    <w:p>
      <w:pPr>
        <w:pStyle w:val="2"/>
        <w:numPr>
          <w:ilvl w:val="0"/>
          <w:numId w:val="1"/>
        </w:numPr>
        <w:spacing w:before="0" w:after="0"/>
        <w:rPr>
          <w:rFonts w:hint="eastAsia" w:ascii="黑体" w:hAnsi="黑体" w:eastAsia="黑体"/>
          <w:b w:val="0"/>
          <w:bCs w:val="0"/>
          <w:sz w:val="32"/>
          <w:szCs w:val="32"/>
        </w:rPr>
      </w:pPr>
      <w:bookmarkStart w:id="3" w:name="_Toc174636794"/>
      <w:r>
        <w:rPr>
          <w:rFonts w:hint="eastAsia" w:ascii="黑体" w:hAnsi="黑体" w:eastAsia="黑体"/>
          <w:b w:val="0"/>
          <w:bCs w:val="0"/>
          <w:sz w:val="32"/>
          <w:szCs w:val="32"/>
        </w:rPr>
        <w:t>标准编制原则</w:t>
      </w:r>
      <w:bookmarkEnd w:id="3"/>
    </w:p>
    <w:p>
      <w:pPr>
        <w:widowControl/>
        <w:ind w:firstLine="560" w:firstLineChars="200"/>
        <w:rPr>
          <w:rFonts w:hint="eastAsia" w:ascii="宋体" w:hAnsi="宋体" w:eastAsia="宋体"/>
          <w:sz w:val="28"/>
          <w:szCs w:val="28"/>
        </w:rPr>
      </w:pPr>
      <w:r>
        <w:rPr>
          <w:rFonts w:hint="eastAsia" w:ascii="宋体" w:hAnsi="宋体" w:eastAsia="宋体"/>
          <w:sz w:val="28"/>
          <w:szCs w:val="28"/>
        </w:rPr>
        <w:t>本标准起草过程遵循以下原则。</w:t>
      </w:r>
    </w:p>
    <w:p>
      <w:pPr>
        <w:pStyle w:val="17"/>
        <w:widowControl/>
        <w:numPr>
          <w:ilvl w:val="0"/>
          <w:numId w:val="2"/>
        </w:numPr>
        <w:ind w:firstLineChars="0"/>
        <w:rPr>
          <w:rFonts w:ascii="Times New Roman" w:hAnsi="Times New Roman" w:eastAsia="宋体" w:cs="Times New Roman"/>
          <w:sz w:val="28"/>
          <w:szCs w:val="28"/>
        </w:rPr>
      </w:pPr>
      <w:r>
        <w:rPr>
          <w:rFonts w:ascii="Times New Roman" w:hAnsi="Times New Roman" w:eastAsia="宋体" w:cs="Times New Roman"/>
          <w:sz w:val="28"/>
          <w:szCs w:val="28"/>
        </w:rPr>
        <w:t>规范性。本标准是根据 GB/T 1.1-2020《标准化工作导则 第 1部分:标准化文件的结构和起草规则》、《中国出入境检验检疫协会团体标准管理办法》及其实施细则的要求进行格式和结构编写，以确保制定的团体标准的规范性。</w:t>
      </w:r>
    </w:p>
    <w:p>
      <w:pPr>
        <w:pStyle w:val="17"/>
        <w:widowControl/>
        <w:numPr>
          <w:ilvl w:val="0"/>
          <w:numId w:val="2"/>
        </w:numPr>
        <w:ind w:firstLineChars="0"/>
        <w:rPr>
          <w:rFonts w:ascii="Times New Roman" w:hAnsi="Times New Roman" w:eastAsia="宋体" w:cs="Times New Roman"/>
          <w:sz w:val="28"/>
          <w:szCs w:val="28"/>
        </w:rPr>
      </w:pPr>
      <w:r>
        <w:rPr>
          <w:rFonts w:hint="eastAsia" w:ascii="Times New Roman" w:hAnsi="Times New Roman" w:eastAsia="宋体" w:cs="Times New Roman"/>
          <w:sz w:val="28"/>
          <w:szCs w:val="28"/>
        </w:rPr>
        <w:t>合规性</w:t>
      </w:r>
      <w:r>
        <w:rPr>
          <w:rFonts w:ascii="Times New Roman" w:hAnsi="Times New Roman" w:eastAsia="宋体" w:cs="Times New Roman"/>
          <w:sz w:val="28"/>
          <w:szCs w:val="28"/>
        </w:rPr>
        <w:t>。</w:t>
      </w:r>
      <w:r>
        <w:rPr>
          <w:rFonts w:hint="eastAsia" w:ascii="Times New Roman" w:hAnsi="Times New Roman" w:eastAsia="宋体" w:cs="Times New Roman"/>
          <w:sz w:val="28"/>
          <w:szCs w:val="28"/>
        </w:rPr>
        <w:t>严格遵循国家相关的法律法规，如《中华人民共和国网络安全法》、《中华人民共和国密码法》等，提出了数字产品的网络安全通用要求，包括安全功能要求和安全保障要求。</w:t>
      </w:r>
    </w:p>
    <w:p>
      <w:pPr>
        <w:pStyle w:val="17"/>
        <w:widowControl/>
        <w:numPr>
          <w:ilvl w:val="0"/>
          <w:numId w:val="2"/>
        </w:numPr>
        <w:ind w:firstLineChars="0"/>
        <w:rPr>
          <w:rFonts w:ascii="Times New Roman" w:hAnsi="Times New Roman" w:eastAsia="宋体" w:cs="Times New Roman"/>
          <w:sz w:val="28"/>
          <w:szCs w:val="28"/>
        </w:rPr>
      </w:pPr>
      <w:r>
        <w:rPr>
          <w:rFonts w:hint="eastAsia" w:ascii="Times New Roman" w:hAnsi="Times New Roman" w:eastAsia="宋体" w:cs="Times New Roman"/>
          <w:sz w:val="28"/>
          <w:szCs w:val="28"/>
        </w:rPr>
        <w:t>协调</w:t>
      </w:r>
      <w:r>
        <w:rPr>
          <w:rFonts w:ascii="Times New Roman" w:hAnsi="Times New Roman" w:eastAsia="宋体" w:cs="Times New Roman"/>
          <w:sz w:val="28"/>
          <w:szCs w:val="28"/>
        </w:rPr>
        <w:t>性。</w:t>
      </w:r>
      <w:r>
        <w:rPr>
          <w:rFonts w:hint="eastAsia" w:ascii="Times New Roman" w:hAnsi="Times New Roman" w:eastAsia="宋体" w:cs="Times New Roman"/>
          <w:sz w:val="28"/>
          <w:szCs w:val="28"/>
        </w:rPr>
        <w:t>本标准规范性引用了</w:t>
      </w:r>
      <w:r>
        <w:rPr>
          <w:rFonts w:ascii="Times New Roman" w:hAnsi="Times New Roman" w:eastAsia="宋体" w:cs="Times New Roman"/>
          <w:sz w:val="28"/>
          <w:szCs w:val="28"/>
        </w:rPr>
        <w:t>GB/T 35273—2020</w:t>
      </w:r>
      <w:r>
        <w:rPr>
          <w:rFonts w:hint="eastAsia" w:ascii="Times New Roman" w:hAnsi="Times New Roman" w:eastAsia="宋体" w:cs="Times New Roman"/>
          <w:sz w:val="28"/>
          <w:szCs w:val="28"/>
        </w:rPr>
        <w:t>、GB 42250-2022</w:t>
      </w:r>
      <w:r>
        <w:rPr>
          <w:rFonts w:ascii="Times New Roman" w:hAnsi="Times New Roman" w:eastAsia="宋体" w:cs="Times New Roman"/>
          <w:sz w:val="28"/>
          <w:szCs w:val="28"/>
        </w:rPr>
        <w:t>等标准，确保标准间相互协调，避免重复和不必要的差异</w:t>
      </w:r>
      <w:r>
        <w:rPr>
          <w:rFonts w:hint="eastAsia" w:ascii="Times New Roman" w:hAnsi="Times New Roman" w:eastAsia="宋体" w:cs="Times New Roman"/>
          <w:sz w:val="28"/>
          <w:szCs w:val="28"/>
        </w:rPr>
        <w:t>。</w:t>
      </w:r>
    </w:p>
    <w:p>
      <w:pPr>
        <w:pStyle w:val="2"/>
        <w:numPr>
          <w:ilvl w:val="0"/>
          <w:numId w:val="1"/>
        </w:numPr>
        <w:spacing w:before="0" w:after="0"/>
        <w:rPr>
          <w:rFonts w:hint="eastAsia" w:ascii="黑体" w:hAnsi="黑体" w:eastAsia="黑体"/>
          <w:b w:val="0"/>
          <w:bCs w:val="0"/>
          <w:sz w:val="32"/>
          <w:szCs w:val="32"/>
        </w:rPr>
      </w:pPr>
      <w:bookmarkStart w:id="4" w:name="_Toc174636795"/>
      <w:r>
        <w:rPr>
          <w:rFonts w:hint="eastAsia" w:ascii="黑体" w:hAnsi="黑体" w:eastAsia="黑体"/>
          <w:b w:val="0"/>
          <w:bCs w:val="0"/>
          <w:sz w:val="32"/>
          <w:szCs w:val="32"/>
        </w:rPr>
        <w:t>标准核心技术内容及应用情况</w:t>
      </w:r>
      <w:bookmarkEnd w:id="4"/>
    </w:p>
    <w:p>
      <w:pPr>
        <w:pStyle w:val="3"/>
        <w:numPr>
          <w:ilvl w:val="1"/>
          <w:numId w:val="1"/>
        </w:numPr>
        <w:spacing w:before="0" w:after="0"/>
        <w:ind w:left="567"/>
        <w:rPr>
          <w:rFonts w:hint="eastAsia" w:ascii="黑体" w:hAnsi="黑体" w:eastAsia="黑体"/>
          <w:b w:val="0"/>
          <w:bCs w:val="0"/>
          <w:sz w:val="28"/>
          <w:szCs w:val="28"/>
        </w:rPr>
      </w:pPr>
      <w:bookmarkStart w:id="5" w:name="_Toc174636796"/>
      <w:r>
        <w:rPr>
          <w:rFonts w:ascii="黑体" w:hAnsi="黑体" w:eastAsia="黑体"/>
          <w:b w:val="0"/>
          <w:bCs w:val="0"/>
          <w:sz w:val="28"/>
          <w:szCs w:val="28"/>
        </w:rPr>
        <w:t>标准制定的适用范围</w:t>
      </w:r>
      <w:bookmarkEnd w:id="5"/>
    </w:p>
    <w:p>
      <w:pPr>
        <w:pStyle w:val="17"/>
        <w:widowControl/>
        <w:ind w:left="360" w:firstLine="560"/>
        <w:rPr>
          <w:rFonts w:ascii="宋体" w:hAnsi="宋体" w:eastAsia="宋体"/>
          <w:sz w:val="28"/>
          <w:szCs w:val="28"/>
        </w:rPr>
      </w:pPr>
      <w:r>
        <w:rPr>
          <w:rFonts w:hint="eastAsia" w:ascii="宋体" w:hAnsi="宋体" w:eastAsia="宋体"/>
          <w:sz w:val="28"/>
          <w:szCs w:val="28"/>
        </w:rPr>
        <w:t>本文件规定了数字产品的网络安全通用要求，包括安全功能要求和安全保障要求。</w:t>
      </w:r>
    </w:p>
    <w:p>
      <w:pPr>
        <w:pStyle w:val="17"/>
        <w:widowControl/>
        <w:ind w:left="360" w:firstLine="560"/>
        <w:rPr>
          <w:rFonts w:hint="eastAsia" w:ascii="宋体" w:hAnsi="宋体" w:eastAsia="宋体"/>
          <w:sz w:val="28"/>
          <w:szCs w:val="28"/>
        </w:rPr>
      </w:pPr>
      <w:r>
        <w:rPr>
          <w:rFonts w:hint="eastAsia" w:ascii="宋体" w:hAnsi="宋体" w:eastAsia="宋体"/>
          <w:sz w:val="28"/>
          <w:szCs w:val="28"/>
        </w:rPr>
        <w:t>本文件适用于数字产品提供者进行数字产品的网络安全设计、生产，也可用于指导第三方检验检测认证机构对数字产品进行网络安全检测。</w:t>
      </w:r>
    </w:p>
    <w:p>
      <w:pPr>
        <w:pStyle w:val="3"/>
        <w:numPr>
          <w:ilvl w:val="1"/>
          <w:numId w:val="1"/>
        </w:numPr>
        <w:spacing w:before="0" w:after="0"/>
        <w:ind w:left="567"/>
        <w:rPr>
          <w:rFonts w:hint="eastAsia" w:ascii="黑体" w:hAnsi="黑体" w:eastAsia="黑体"/>
          <w:b w:val="0"/>
          <w:bCs w:val="0"/>
          <w:sz w:val="28"/>
          <w:szCs w:val="28"/>
        </w:rPr>
      </w:pPr>
      <w:bookmarkStart w:id="6" w:name="_Toc174636797"/>
      <w:r>
        <w:rPr>
          <w:rFonts w:ascii="黑体" w:hAnsi="黑体" w:eastAsia="黑体"/>
          <w:b w:val="0"/>
          <w:bCs w:val="0"/>
          <w:sz w:val="28"/>
          <w:szCs w:val="28"/>
        </w:rPr>
        <w:t>主要内容及其确定依据</w:t>
      </w:r>
      <w:bookmarkEnd w:id="6"/>
    </w:p>
    <w:p>
      <w:pPr>
        <w:widowControl/>
        <w:ind w:firstLine="560" w:firstLineChars="200"/>
        <w:rPr>
          <w:rFonts w:hint="eastAsia" w:ascii="宋体" w:hAnsi="宋体" w:eastAsia="宋体"/>
          <w:sz w:val="28"/>
          <w:szCs w:val="28"/>
        </w:rPr>
      </w:pPr>
      <w:r>
        <w:rPr>
          <w:rFonts w:hint="eastAsia" w:ascii="宋体" w:hAnsi="宋体" w:eastAsia="宋体"/>
          <w:sz w:val="28"/>
          <w:szCs w:val="28"/>
        </w:rPr>
        <w:t>本标准依据</w:t>
      </w:r>
      <w:r>
        <w:rPr>
          <w:rFonts w:hint="eastAsia" w:ascii="Times New Roman" w:hAnsi="Times New Roman" w:eastAsia="宋体" w:cs="Times New Roman"/>
          <w:sz w:val="28"/>
          <w:szCs w:val="28"/>
        </w:rPr>
        <w:t>《中华人民共和国网络安全法》、《中华人民共和国密码法》</w:t>
      </w:r>
      <w:r>
        <w:rPr>
          <w:rFonts w:hint="eastAsia" w:ascii="宋体" w:hAnsi="宋体" w:eastAsia="宋体"/>
          <w:sz w:val="28"/>
          <w:szCs w:val="28"/>
        </w:rPr>
        <w:t>等法律法规，规定了数字产品的网络安全通用要求，包括安全功能要求和安全保障要求，同时提出了基本级网络安全通用要求和增强级网络安全通用要求，适用于数字产品提供者进行数字产品的网络安全设计、生产，也可用于指导第三方检验检测认证机构对数字产品进行网络安全检测。</w:t>
      </w:r>
    </w:p>
    <w:p>
      <w:pPr>
        <w:pStyle w:val="2"/>
        <w:numPr>
          <w:ilvl w:val="0"/>
          <w:numId w:val="1"/>
        </w:numPr>
        <w:spacing w:before="0" w:after="0"/>
        <w:rPr>
          <w:rFonts w:hint="eastAsia" w:ascii="黑体" w:hAnsi="黑体" w:eastAsia="黑体"/>
          <w:b w:val="0"/>
          <w:bCs w:val="0"/>
          <w:sz w:val="32"/>
          <w:szCs w:val="32"/>
        </w:rPr>
      </w:pPr>
      <w:bookmarkStart w:id="7" w:name="_Toc174636798"/>
      <w:r>
        <w:rPr>
          <w:rFonts w:hint="eastAsia" w:ascii="黑体" w:hAnsi="黑体" w:eastAsia="黑体"/>
          <w:b w:val="0"/>
          <w:bCs w:val="0"/>
          <w:sz w:val="32"/>
          <w:szCs w:val="32"/>
        </w:rPr>
        <w:t>标准中涉及专利的情况</w:t>
      </w:r>
      <w:bookmarkEnd w:id="7"/>
    </w:p>
    <w:p>
      <w:pPr>
        <w:widowControl/>
        <w:ind w:firstLine="560" w:firstLineChars="200"/>
        <w:rPr>
          <w:rFonts w:hint="eastAsia" w:ascii="宋体" w:hAnsi="宋体" w:eastAsia="宋体"/>
          <w:sz w:val="28"/>
          <w:szCs w:val="28"/>
        </w:rPr>
      </w:pPr>
      <w:r>
        <w:rPr>
          <w:rFonts w:hint="eastAsia" w:ascii="宋体" w:hAnsi="宋体" w:eastAsia="宋体"/>
          <w:sz w:val="28"/>
          <w:szCs w:val="28"/>
        </w:rPr>
        <w:t>本标准不涉及专利和知识产权问题。</w:t>
      </w:r>
    </w:p>
    <w:p>
      <w:pPr>
        <w:pStyle w:val="2"/>
        <w:numPr>
          <w:ilvl w:val="0"/>
          <w:numId w:val="1"/>
        </w:numPr>
        <w:spacing w:before="0" w:after="0"/>
        <w:rPr>
          <w:rFonts w:hint="eastAsia" w:ascii="黑体" w:hAnsi="黑体" w:eastAsia="黑体"/>
          <w:b w:val="0"/>
          <w:bCs w:val="0"/>
          <w:sz w:val="32"/>
          <w:szCs w:val="32"/>
        </w:rPr>
      </w:pPr>
      <w:bookmarkStart w:id="8" w:name="_Toc174636799"/>
      <w:r>
        <w:rPr>
          <w:rFonts w:hint="eastAsia" w:ascii="黑体" w:hAnsi="黑体" w:eastAsia="黑体"/>
          <w:b w:val="0"/>
          <w:bCs w:val="0"/>
          <w:sz w:val="32"/>
          <w:szCs w:val="32"/>
        </w:rPr>
        <w:t>采用国际标准和国外先进标准的情况</w:t>
      </w:r>
      <w:bookmarkEnd w:id="8"/>
    </w:p>
    <w:p>
      <w:pPr>
        <w:widowControl/>
        <w:ind w:firstLine="560" w:firstLineChars="200"/>
        <w:rPr>
          <w:rFonts w:hint="eastAsia" w:ascii="宋体" w:hAnsi="宋体" w:eastAsia="宋体"/>
          <w:sz w:val="28"/>
          <w:szCs w:val="28"/>
        </w:rPr>
      </w:pPr>
      <w:r>
        <w:rPr>
          <w:rFonts w:hint="eastAsia" w:ascii="宋体" w:hAnsi="宋体" w:eastAsia="宋体"/>
          <w:sz w:val="28"/>
          <w:szCs w:val="28"/>
        </w:rPr>
        <w:t>通过查找全国标准信息公共服务平台、全国信安标委信息安全标准项目管理与服务平台、全国团体标准信息平台等相关标准平台，均未找到数字产品数据安全和隐私保护要求类似标准。本标准未采用（包括等同采用、修改采用及非等效采用）国际标准或国外先进标准。可以提供参考和借鉴的标准包括：</w:t>
      </w:r>
    </w:p>
    <w:p>
      <w:pPr>
        <w:widowControl/>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GB╱T 22239-2019《信息安全技术 网络安全等级保护基本要求》；</w:t>
      </w:r>
    </w:p>
    <w:p>
      <w:pPr>
        <w:widowControl/>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GB 42250-2022《信息安全技术 网络安全专用产品安全技术要求》。</w:t>
      </w:r>
    </w:p>
    <w:p>
      <w:pPr>
        <w:pStyle w:val="2"/>
        <w:numPr>
          <w:ilvl w:val="0"/>
          <w:numId w:val="1"/>
        </w:numPr>
        <w:spacing w:before="0" w:after="0"/>
        <w:rPr>
          <w:rFonts w:hint="eastAsia" w:ascii="黑体" w:hAnsi="黑体" w:eastAsia="黑体"/>
          <w:b w:val="0"/>
          <w:bCs w:val="0"/>
          <w:sz w:val="32"/>
          <w:szCs w:val="32"/>
        </w:rPr>
      </w:pPr>
      <w:bookmarkStart w:id="9" w:name="_Toc174636800"/>
      <w:r>
        <w:rPr>
          <w:rFonts w:hint="eastAsia" w:ascii="黑体" w:hAnsi="黑体" w:eastAsia="黑体"/>
          <w:b w:val="0"/>
          <w:bCs w:val="0"/>
          <w:sz w:val="32"/>
          <w:szCs w:val="32"/>
        </w:rPr>
        <w:t>与现行法律、法规、强制性国家标准及相关标准的关系</w:t>
      </w:r>
      <w:bookmarkEnd w:id="9"/>
    </w:p>
    <w:p>
      <w:pPr>
        <w:widowControl/>
        <w:ind w:firstLine="560" w:firstLineChars="200"/>
        <w:rPr>
          <w:rFonts w:ascii="Times New Roman" w:hAnsi="Times New Roman" w:eastAsia="宋体" w:cs="Times New Roman"/>
          <w:sz w:val="28"/>
          <w:szCs w:val="28"/>
        </w:rPr>
      </w:pPr>
      <w:r>
        <w:rPr>
          <w:rFonts w:hint="eastAsia" w:ascii="Times New Roman" w:hAnsi="Times New Roman" w:eastAsia="宋体" w:cs="Times New Roman"/>
          <w:sz w:val="28"/>
          <w:szCs w:val="28"/>
        </w:rPr>
        <w:t>本标准完全满足现行国家法规的要求，与其他现行标准不冲突。</w:t>
      </w:r>
    </w:p>
    <w:p>
      <w:pPr>
        <w:pStyle w:val="2"/>
        <w:numPr>
          <w:ilvl w:val="0"/>
          <w:numId w:val="1"/>
        </w:numPr>
        <w:spacing w:before="0" w:after="0"/>
        <w:rPr>
          <w:rFonts w:hint="eastAsia" w:ascii="黑体" w:hAnsi="黑体" w:eastAsia="黑体"/>
          <w:b w:val="0"/>
          <w:bCs w:val="0"/>
          <w:sz w:val="32"/>
          <w:szCs w:val="32"/>
        </w:rPr>
      </w:pPr>
      <w:bookmarkStart w:id="10" w:name="_Toc174636801"/>
      <w:r>
        <w:rPr>
          <w:rFonts w:hint="eastAsia" w:ascii="黑体" w:hAnsi="黑体" w:eastAsia="黑体"/>
          <w:b w:val="0"/>
          <w:bCs w:val="0"/>
          <w:sz w:val="32"/>
          <w:szCs w:val="32"/>
        </w:rPr>
        <w:t>重大分歧意见的处理和依据</w:t>
      </w:r>
      <w:bookmarkEnd w:id="10"/>
    </w:p>
    <w:p>
      <w:pPr>
        <w:widowControl/>
        <w:ind w:firstLine="560" w:firstLineChars="200"/>
        <w:rPr>
          <w:rFonts w:ascii="Times New Roman" w:hAnsi="Times New Roman" w:eastAsia="宋体" w:cs="Times New Roman"/>
          <w:sz w:val="28"/>
          <w:szCs w:val="28"/>
        </w:rPr>
      </w:pPr>
      <w:r>
        <w:rPr>
          <w:rFonts w:hint="eastAsia" w:ascii="Times New Roman" w:hAnsi="Times New Roman" w:eastAsia="宋体" w:cs="Times New Roman"/>
          <w:sz w:val="28"/>
          <w:szCs w:val="28"/>
        </w:rPr>
        <w:t>无重大分歧。</w:t>
      </w:r>
    </w:p>
    <w:p>
      <w:pPr>
        <w:pStyle w:val="2"/>
        <w:numPr>
          <w:ilvl w:val="0"/>
          <w:numId w:val="1"/>
        </w:numPr>
        <w:spacing w:before="0" w:after="0"/>
        <w:rPr>
          <w:rFonts w:hint="eastAsia" w:ascii="黑体" w:hAnsi="黑体" w:eastAsia="黑体"/>
          <w:b w:val="0"/>
          <w:bCs w:val="0"/>
          <w:sz w:val="32"/>
          <w:szCs w:val="32"/>
        </w:rPr>
      </w:pPr>
      <w:bookmarkStart w:id="11" w:name="_Toc174636802"/>
      <w:r>
        <w:rPr>
          <w:rFonts w:hint="eastAsia" w:ascii="黑体" w:hAnsi="黑体" w:eastAsia="黑体"/>
          <w:b w:val="0"/>
          <w:bCs w:val="0"/>
          <w:sz w:val="32"/>
          <w:szCs w:val="32"/>
        </w:rPr>
        <w:t>贯彻标准的要求和措施建议</w:t>
      </w:r>
      <w:bookmarkEnd w:id="11"/>
    </w:p>
    <w:p>
      <w:pPr>
        <w:widowControl/>
        <w:ind w:firstLine="560" w:firstLineChars="200"/>
        <w:rPr>
          <w:rFonts w:ascii="Times New Roman" w:hAnsi="Times New Roman" w:eastAsia="宋体" w:cs="Times New Roman"/>
          <w:sz w:val="28"/>
          <w:szCs w:val="28"/>
        </w:rPr>
      </w:pPr>
      <w:r>
        <w:rPr>
          <w:rFonts w:hint="eastAsia" w:ascii="Times New Roman" w:hAnsi="Times New Roman" w:eastAsia="宋体" w:cs="Times New Roman"/>
          <w:sz w:val="28"/>
          <w:szCs w:val="28"/>
        </w:rPr>
        <w:t>标准颁布实施后，需要依托协会开展宣贯工作，组织会员单位积极采用或应用该标准，开展数字产品网络安全检测评估活动，促进检验检测行业高质量发展，推进国内数字产品网络安全设计开发，</w:t>
      </w:r>
      <w:r>
        <w:rPr>
          <w:rFonts w:hint="eastAsia" w:ascii="宋体" w:hAnsi="宋体" w:eastAsia="宋体"/>
          <w:sz w:val="28"/>
          <w:szCs w:val="28"/>
        </w:rPr>
        <w:t>提高数字产品的网络安全保护能力，保障企业、用户的合法权益，</w:t>
      </w:r>
      <w:r>
        <w:rPr>
          <w:rFonts w:ascii="宋体" w:hAnsi="宋体" w:eastAsia="宋体"/>
          <w:sz w:val="28"/>
          <w:szCs w:val="28"/>
        </w:rPr>
        <w:t>提升用户信任度和满意度</w:t>
      </w:r>
      <w:r>
        <w:rPr>
          <w:rFonts w:hint="eastAsia" w:ascii="Times New Roman" w:hAnsi="Times New Roman" w:eastAsia="宋体" w:cs="Times New Roman"/>
          <w:sz w:val="28"/>
          <w:szCs w:val="28"/>
        </w:rPr>
        <w:t>。</w:t>
      </w:r>
    </w:p>
    <w:p>
      <w:pPr>
        <w:pStyle w:val="2"/>
        <w:numPr>
          <w:ilvl w:val="0"/>
          <w:numId w:val="1"/>
        </w:numPr>
        <w:spacing w:before="0" w:after="0"/>
        <w:rPr>
          <w:rFonts w:hint="eastAsia" w:ascii="黑体" w:hAnsi="黑体" w:eastAsia="黑体"/>
          <w:b w:val="0"/>
          <w:bCs w:val="0"/>
          <w:sz w:val="32"/>
          <w:szCs w:val="32"/>
        </w:rPr>
      </w:pPr>
      <w:bookmarkStart w:id="12" w:name="_Toc174636803"/>
      <w:r>
        <w:rPr>
          <w:rFonts w:hint="eastAsia" w:ascii="黑体" w:hAnsi="黑体" w:eastAsia="黑体"/>
          <w:b w:val="0"/>
          <w:bCs w:val="0"/>
          <w:sz w:val="32"/>
          <w:szCs w:val="32"/>
        </w:rPr>
        <w:t>其他应予说明的事项</w:t>
      </w:r>
      <w:bookmarkEnd w:id="12"/>
    </w:p>
    <w:p>
      <w:pPr>
        <w:widowControl/>
        <w:ind w:firstLine="560" w:firstLineChars="200"/>
        <w:rPr>
          <w:rFonts w:ascii="Times New Roman" w:hAnsi="Times New Roman" w:eastAsia="宋体" w:cs="Times New Roman"/>
          <w:sz w:val="28"/>
          <w:szCs w:val="28"/>
        </w:rPr>
      </w:pPr>
      <w:r>
        <w:rPr>
          <w:rFonts w:hint="eastAsia" w:ascii="Times New Roman" w:hAnsi="Times New Roman" w:eastAsia="宋体" w:cs="Times New Roman"/>
          <w:sz w:val="28"/>
          <w:szCs w:val="28"/>
        </w:rPr>
        <w:t>无。</w:t>
      </w:r>
    </w:p>
    <w:p>
      <w:pPr>
        <w:pStyle w:val="2"/>
        <w:numPr>
          <w:ilvl w:val="0"/>
          <w:numId w:val="1"/>
        </w:numPr>
        <w:spacing w:before="0" w:after="0"/>
        <w:rPr>
          <w:rFonts w:hint="eastAsia" w:ascii="黑体" w:hAnsi="黑体" w:eastAsia="黑体"/>
          <w:b w:val="0"/>
          <w:bCs w:val="0"/>
          <w:sz w:val="32"/>
          <w:szCs w:val="32"/>
        </w:rPr>
      </w:pPr>
      <w:bookmarkStart w:id="13" w:name="_Toc174636804"/>
      <w:r>
        <w:rPr>
          <w:rFonts w:hint="eastAsia" w:ascii="黑体" w:hAnsi="黑体" w:eastAsia="黑体"/>
          <w:b w:val="0"/>
          <w:bCs w:val="0"/>
          <w:sz w:val="32"/>
          <w:szCs w:val="32"/>
        </w:rPr>
        <w:t>预期效果</w:t>
      </w:r>
      <w:bookmarkEnd w:id="13"/>
    </w:p>
    <w:p>
      <w:pPr>
        <w:widowControl/>
        <w:ind w:firstLine="560" w:firstLineChars="200"/>
        <w:rPr>
          <w:rFonts w:ascii="Times New Roman" w:hAnsi="Times New Roman" w:eastAsia="宋体" w:cs="Times New Roman"/>
          <w:sz w:val="28"/>
          <w:szCs w:val="28"/>
        </w:rPr>
      </w:pPr>
      <w:r>
        <w:rPr>
          <w:rFonts w:hint="eastAsia" w:ascii="Times New Roman" w:hAnsi="Times New Roman" w:eastAsia="宋体" w:cs="Times New Roman"/>
          <w:sz w:val="28"/>
          <w:szCs w:val="28"/>
        </w:rPr>
        <w:t>《数字产品网络安全要求》由中国出入境检验检疫协会批准、发布后，可以充分发挥协会的行业引领作用，推动该标准的应用。</w:t>
      </w:r>
    </w:p>
    <w:p>
      <w:pPr>
        <w:widowControl/>
        <w:ind w:firstLine="560" w:firstLineChars="200"/>
        <w:rPr>
          <w:rFonts w:ascii="Times New Roman" w:hAnsi="Times New Roman" w:eastAsia="宋体" w:cs="Times New Roman"/>
          <w:sz w:val="28"/>
          <w:szCs w:val="28"/>
        </w:rPr>
      </w:pPr>
      <w:r>
        <w:rPr>
          <w:rFonts w:hint="eastAsia" w:ascii="Times New Roman" w:hAnsi="Times New Roman" w:eastAsia="宋体" w:cs="Times New Roman"/>
          <w:sz w:val="28"/>
          <w:szCs w:val="28"/>
        </w:rPr>
        <w:t>一是依托协会，通过培训、宣传等形式，向协会会员单位宣贯标准，使其了解掌握标准的重要意义和具体内容，用于指导、规范数字产品提供者进行数字产品的网络安全生产设计，</w:t>
      </w:r>
      <w:r>
        <w:rPr>
          <w:rFonts w:hint="eastAsia" w:ascii="宋体" w:hAnsi="宋体" w:eastAsia="宋体"/>
          <w:sz w:val="28"/>
          <w:szCs w:val="28"/>
        </w:rPr>
        <w:t>提高数字产品的网络安全保护能力</w:t>
      </w:r>
      <w:r>
        <w:rPr>
          <w:rFonts w:ascii="Times New Roman" w:hAnsi="Times New Roman" w:eastAsia="宋体" w:cs="Times New Roman"/>
          <w:sz w:val="28"/>
          <w:szCs w:val="28"/>
        </w:rPr>
        <w:t>。</w:t>
      </w:r>
    </w:p>
    <w:p>
      <w:pPr>
        <w:widowControl/>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二是依托协会，组织检验检测机构对数字产品进行网络安全检测，提高数字产品生产企业网络安全保障能力，提升数字产品生产企业市场竞争力，助力</w:t>
      </w:r>
      <w:r>
        <w:rPr>
          <w:rFonts w:ascii="Times New Roman" w:hAnsi="Times New Roman" w:eastAsia="宋体" w:cs="Times New Roman"/>
          <w:sz w:val="28"/>
          <w:szCs w:val="28"/>
        </w:rPr>
        <w:t>构建安全可信的数字产品生态环境</w:t>
      </w:r>
      <w:r>
        <w:rPr>
          <w:rFonts w:hint="eastAsia" w:ascii="Times New Roman" w:hAnsi="Times New Roman" w:eastAsia="宋体" w:cs="Times New Roman"/>
          <w:sz w:val="28"/>
          <w:szCs w:val="28"/>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EndPr>
      <w:rPr>
        <w:rFonts w:ascii="Times New Roman" w:hAnsi="Times New Roman" w:cs="Times New Roman"/>
        <w:sz w:val="21"/>
        <w:szCs w:val="21"/>
      </w:rPr>
    </w:sdtEndPr>
    <w:sdtContent>
      <w:p>
        <w:pPr>
          <w:pStyle w:val="5"/>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2</w:t>
        </w:r>
        <w:r>
          <w:rPr>
            <w:rFonts w:ascii="Times New Roman" w:hAnsi="Times New Roman" w:cs="Times New Roman"/>
            <w:sz w:val="21"/>
            <w:szCs w:val="21"/>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911758"/>
    <w:multiLevelType w:val="multilevel"/>
    <w:tmpl w:val="3D911758"/>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
    <w:nsid w:val="68DE49F2"/>
    <w:multiLevelType w:val="multilevel"/>
    <w:tmpl w:val="68DE49F2"/>
    <w:lvl w:ilvl="0" w:tentative="0">
      <w:start w:val="1"/>
      <w:numFmt w:val="lowerLetter"/>
      <w:lvlText w:val="%1)"/>
      <w:lvlJc w:val="left"/>
      <w:pPr>
        <w:ind w:left="920" w:hanging="360"/>
      </w:pPr>
      <w:rPr>
        <w:rFonts w:ascii="宋体" w:hAnsi="宋体" w:eastAsia="宋体" w:cstheme="minorBidi"/>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65C"/>
    <w:rsid w:val="000070CB"/>
    <w:rsid w:val="00061B01"/>
    <w:rsid w:val="000E2605"/>
    <w:rsid w:val="001026C2"/>
    <w:rsid w:val="001216B5"/>
    <w:rsid w:val="001567BE"/>
    <w:rsid w:val="001A337A"/>
    <w:rsid w:val="00210F25"/>
    <w:rsid w:val="00242F5B"/>
    <w:rsid w:val="0026288F"/>
    <w:rsid w:val="002630EA"/>
    <w:rsid w:val="00294AF7"/>
    <w:rsid w:val="002B5E62"/>
    <w:rsid w:val="00417A23"/>
    <w:rsid w:val="004400B3"/>
    <w:rsid w:val="004475DA"/>
    <w:rsid w:val="004936EF"/>
    <w:rsid w:val="004A2E2A"/>
    <w:rsid w:val="004A6E25"/>
    <w:rsid w:val="005166A5"/>
    <w:rsid w:val="00575704"/>
    <w:rsid w:val="00584C11"/>
    <w:rsid w:val="0059165C"/>
    <w:rsid w:val="005E0488"/>
    <w:rsid w:val="006703DE"/>
    <w:rsid w:val="006D4490"/>
    <w:rsid w:val="006F7CC8"/>
    <w:rsid w:val="00707F76"/>
    <w:rsid w:val="007403D6"/>
    <w:rsid w:val="00786588"/>
    <w:rsid w:val="00797182"/>
    <w:rsid w:val="008554D4"/>
    <w:rsid w:val="008B0074"/>
    <w:rsid w:val="009163AD"/>
    <w:rsid w:val="0096231B"/>
    <w:rsid w:val="00965C82"/>
    <w:rsid w:val="009C52AB"/>
    <w:rsid w:val="009D20F1"/>
    <w:rsid w:val="009E391E"/>
    <w:rsid w:val="00A44A82"/>
    <w:rsid w:val="00A717A6"/>
    <w:rsid w:val="00AB4EAC"/>
    <w:rsid w:val="00B43894"/>
    <w:rsid w:val="00BE4E20"/>
    <w:rsid w:val="00BE768B"/>
    <w:rsid w:val="00D75747"/>
    <w:rsid w:val="00D7778D"/>
    <w:rsid w:val="00DA06D4"/>
    <w:rsid w:val="00DB35F5"/>
    <w:rsid w:val="00E556A3"/>
    <w:rsid w:val="00F7105C"/>
    <w:rsid w:val="00F958C6"/>
    <w:rsid w:val="00FE0EA8"/>
    <w:rsid w:val="00FE34A1"/>
    <w:rsid w:val="00FF54B7"/>
    <w:rsid w:val="016463F8"/>
    <w:rsid w:val="069D42D4"/>
    <w:rsid w:val="2E9C198E"/>
    <w:rsid w:val="7FCBEF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ate"/>
    <w:basedOn w:val="1"/>
    <w:next w:val="1"/>
    <w:link w:val="14"/>
    <w:semiHidden/>
    <w:unhideWhenUsed/>
    <w:qFormat/>
    <w:uiPriority w:val="99"/>
    <w:pPr>
      <w:ind w:left="100" w:leftChars="2500"/>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tabs>
        <w:tab w:val="center" w:pos="4153"/>
        <w:tab w:val="right" w:pos="8306"/>
      </w:tabs>
      <w:snapToGrid w:val="0"/>
      <w:jc w:val="center"/>
    </w:pPr>
    <w:rPr>
      <w:sz w:val="18"/>
      <w:szCs w:val="18"/>
    </w:rPr>
  </w:style>
  <w:style w:type="paragraph" w:styleId="7">
    <w:name w:val="toc 1"/>
    <w:basedOn w:val="1"/>
    <w:next w:val="1"/>
    <w:unhideWhenUsed/>
    <w:qFormat/>
    <w:uiPriority w:val="39"/>
    <w:pPr>
      <w:tabs>
        <w:tab w:val="left" w:pos="420"/>
        <w:tab w:val="right" w:leader="dot" w:pos="8296"/>
      </w:tabs>
      <w:spacing w:line="360" w:lineRule="auto"/>
    </w:pPr>
  </w:style>
  <w:style w:type="paragraph" w:styleId="8">
    <w:name w:val="toc 2"/>
    <w:basedOn w:val="1"/>
    <w:next w:val="1"/>
    <w:unhideWhenUsed/>
    <w:qFormat/>
    <w:uiPriority w:val="39"/>
    <w:pPr>
      <w:ind w:left="420" w:leftChars="200"/>
    </w:p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character" w:customStyle="1" w:styleId="14">
    <w:name w:val="日期 字符"/>
    <w:basedOn w:val="10"/>
    <w:link w:val="4"/>
    <w:semiHidden/>
    <w:qFormat/>
    <w:uiPriority w:val="99"/>
  </w:style>
  <w:style w:type="character" w:customStyle="1" w:styleId="15">
    <w:name w:val="标题 1 字符"/>
    <w:basedOn w:val="10"/>
    <w:link w:val="2"/>
    <w:qFormat/>
    <w:uiPriority w:val="9"/>
    <w:rPr>
      <w:b/>
      <w:bCs/>
      <w:kern w:val="44"/>
      <w:sz w:val="44"/>
      <w:szCs w:val="44"/>
    </w:rPr>
  </w:style>
  <w:style w:type="paragraph" w:customStyle="1" w:styleId="1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styleId="17">
    <w:name w:val="List Paragraph"/>
    <w:basedOn w:val="1"/>
    <w:qFormat/>
    <w:uiPriority w:val="34"/>
    <w:pPr>
      <w:ind w:firstLine="420" w:firstLineChars="200"/>
    </w:pPr>
  </w:style>
  <w:style w:type="character" w:customStyle="1" w:styleId="18">
    <w:name w:val="标题 2 字符"/>
    <w:basedOn w:val="10"/>
    <w:link w:val="3"/>
    <w:qFormat/>
    <w:uiPriority w:val="9"/>
    <w:rPr>
      <w:rFonts w:asciiTheme="majorHAnsi" w:hAnsiTheme="majorHAnsi" w:eastAsiaTheme="majorEastAsia" w:cstheme="majorBidi"/>
      <w:b/>
      <w:bCs/>
      <w:sz w:val="32"/>
      <w:szCs w:val="32"/>
    </w:rPr>
  </w:style>
  <w:style w:type="paragraph" w:customStyle="1" w:styleId="19">
    <w:name w:val="标准文件_段"/>
    <w:link w:val="20"/>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character" w:customStyle="1" w:styleId="20">
    <w:name w:val="标准文件_段 Char"/>
    <w:link w:val="19"/>
    <w:qFormat/>
    <w:uiPriority w:val="0"/>
    <w:rPr>
      <w:rFonts w:ascii="宋体" w:hAnsi="Times New Roman" w:eastAsia="宋体" w:cs="Times New Roman"/>
      <w:kern w:val="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584</Words>
  <Characters>3329</Characters>
  <Lines>27</Lines>
  <Paragraphs>7</Paragraphs>
  <TotalTime>591</TotalTime>
  <ScaleCrop>false</ScaleCrop>
  <LinksUpToDate>false</LinksUpToDate>
  <CharactersWithSpaces>3906</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2024-08-15T10:49:00Z</dcterms:created>
  <dc:creator>PowerTime</dc:creator>
  <cp:lastModifiedBy>jiangx</cp:lastModifiedBy>
  <cp:lastPrinted>2024-10-08T08:09:07Z</cp:lastPrinted>
  <dcterms:modified xsi:type="dcterms:W3CDTF">2024-10-08T08:09:22Z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8A0E4171F49716CDA2A10467BD867748_42</vt:lpwstr>
  </property>
</Properties>
</file>