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glossary/endnotes.xml" ContentType="application/vnd.openxmlformats-officedocument.wordprocessingml.endnotes+xml"/>
  <Override PartName="/word/glossary/fontTable.xml" ContentType="application/vnd.openxmlformats-officedocument.wordprocessingml.fontTable+xml"/>
  <Override PartName="/word/glossary/footnotes.xml" ContentType="application/vnd.openxmlformats-officedocument.wordprocessingml.footnotes+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293DB8">
      <w:pPr>
        <w:keepNext/>
        <w:keepLines/>
        <w:spacing w:line="400" w:lineRule="exact"/>
        <w:outlineLvl w:val="0"/>
        <w:rPr>
          <w:rFonts w:ascii="Times New Roman" w:hAnsi="Times New Roman" w:eastAsia="黑体" w:cs="Times New Roman"/>
          <w:w w:val="130"/>
          <w:sz w:val="18"/>
          <w:szCs w:val="18"/>
        </w:rPr>
      </w:pPr>
      <w:r>
        <w:rPr>
          <w:rFonts w:hint="eastAsia" w:ascii="Times New Roman" w:hAnsi="Times New Roman" w:eastAsia="黑体" w:cs="Times New Roman"/>
          <w:b/>
          <w:w w:val="130"/>
          <w:sz w:val="18"/>
          <w:szCs w:val="18"/>
        </w:rPr>
        <w:t>ICS</w:t>
      </w:r>
      <w:r>
        <w:rPr>
          <w:rFonts w:hint="eastAsia" w:ascii="Times New Roman" w:hAnsi="Times New Roman" w:eastAsia="黑体" w:cs="Times New Roman"/>
          <w:w w:val="130"/>
          <w:sz w:val="18"/>
          <w:szCs w:val="18"/>
        </w:rPr>
        <w:t xml:space="preserve"> </w:t>
      </w:r>
      <w:r>
        <w:rPr>
          <w:rFonts w:ascii="Times New Roman" w:hAnsi="Times New Roman" w:eastAsia="黑体" w:cs="Times New Roman"/>
          <w:w w:val="130"/>
          <w:sz w:val="18"/>
          <w:szCs w:val="18"/>
        </w:rPr>
        <w:t>39.060</w:t>
      </w:r>
    </w:p>
    <w:p w14:paraId="1A316E6C">
      <w:pPr>
        <w:spacing w:line="400" w:lineRule="exact"/>
        <w:textAlignment w:val="center"/>
        <w:rPr>
          <w:rFonts w:ascii="Times New Roman" w:hAnsi="Times New Roman" w:eastAsia="黑体" w:cs="Times New Roman"/>
          <w:w w:val="130"/>
          <w:sz w:val="18"/>
          <w:szCs w:val="18"/>
        </w:rPr>
      </w:pPr>
      <w:r>
        <w:rPr>
          <w:rFonts w:hint="eastAsia" w:ascii="Times New Roman" w:hAnsi="Times New Roman" w:eastAsia="黑体" w:cs="Times New Roman"/>
          <w:b/>
          <w:w w:val="130"/>
          <w:sz w:val="18"/>
          <w:szCs w:val="18"/>
        </w:rPr>
        <w:t>CCS</w:t>
      </w:r>
      <w:r>
        <w:rPr>
          <w:rFonts w:hint="eastAsia" w:ascii="Times New Roman" w:hAnsi="Times New Roman" w:eastAsia="黑体" w:cs="Times New Roman"/>
          <w:w w:val="130"/>
          <w:sz w:val="18"/>
          <w:szCs w:val="18"/>
        </w:rPr>
        <w:t xml:space="preserve"> D</w:t>
      </w:r>
      <w:r>
        <w:rPr>
          <w:rFonts w:ascii="Times New Roman" w:hAnsi="Times New Roman" w:eastAsia="黑体" w:cs="Times New Roman"/>
          <w:w w:val="130"/>
          <w:sz w:val="18"/>
          <w:szCs w:val="18"/>
        </w:rPr>
        <w:t xml:space="preserve"> 59</w:t>
      </w:r>
      <w:r>
        <w:rPr>
          <w:rFonts w:hint="eastAsia" w:ascii="Times New Roman" w:hAnsi="Times New Roman" w:eastAsia="黑体" w:cs="Times New Roman"/>
          <w:w w:val="130"/>
          <w:sz w:val="18"/>
          <w:szCs w:val="18"/>
        </w:rPr>
        <w:t>,</w:t>
      </w:r>
      <w:r>
        <w:rPr>
          <w:rFonts w:ascii="Times New Roman" w:hAnsi="Times New Roman" w:eastAsia="黑体" w:cs="Times New Roman"/>
          <w:w w:val="130"/>
          <w:sz w:val="18"/>
          <w:szCs w:val="18"/>
        </w:rPr>
        <w:t xml:space="preserve"> Y 88</w:t>
      </w:r>
    </w:p>
    <w:p w14:paraId="7565F003">
      <w:pPr>
        <w:rPr>
          <w:rFonts w:cs="Times New Roman"/>
          <w:szCs w:val="24"/>
        </w:rPr>
      </w:pPr>
    </w:p>
    <w:p w14:paraId="62B58791">
      <w:pPr>
        <w:keepNext/>
        <w:keepLines/>
        <w:spacing w:line="576" w:lineRule="auto"/>
        <w:jc w:val="center"/>
        <w:outlineLvl w:val="0"/>
        <w:rPr>
          <w:rFonts w:ascii="华文中宋" w:hAnsi="华文中宋" w:eastAsia="华文中宋" w:cs="Times New Roman"/>
          <w:b/>
          <w:kern w:val="44"/>
          <w:sz w:val="10"/>
          <w:szCs w:val="10"/>
        </w:rPr>
      </w:pPr>
      <w:r>
        <w:rPr>
          <w:rFonts w:hint="eastAsia" w:ascii="华文中宋" w:hAnsi="华文中宋" w:eastAsia="华文中宋" w:cs="Times New Roman"/>
          <w:b/>
          <w:kern w:val="44"/>
          <w:sz w:val="84"/>
          <w:szCs w:val="84"/>
        </w:rPr>
        <w:t>团  体  标  准</w:t>
      </w:r>
    </w:p>
    <w:p w14:paraId="691EB5D7">
      <w:pPr>
        <w:pBdr>
          <w:bottom w:val="single" w:color="auto" w:sz="6" w:space="1"/>
        </w:pBdr>
        <w:wordWrap w:val="0"/>
        <w:ind w:right="420" w:firstLine="6360" w:firstLineChars="2650"/>
        <w:rPr>
          <w:rFonts w:ascii="Times New Roman" w:hAnsi="Times New Roman" w:cs="Times New Roman"/>
          <w:sz w:val="24"/>
          <w:szCs w:val="24"/>
        </w:rPr>
      </w:pPr>
    </w:p>
    <w:p w14:paraId="5A32F616">
      <w:pPr>
        <w:pBdr>
          <w:bottom w:val="single" w:color="auto" w:sz="6" w:space="1"/>
        </w:pBdr>
        <w:wordWrap w:val="0"/>
        <w:ind w:right="420" w:firstLine="480" w:firstLineChars="200"/>
        <w:jc w:val="right"/>
        <w:rPr>
          <w:rFonts w:ascii="Times New Roman" w:hAnsi="Times New Roman" w:cs="Times New Roman"/>
          <w:sz w:val="24"/>
          <w:szCs w:val="24"/>
        </w:rPr>
      </w:pPr>
      <w:r>
        <w:rPr>
          <w:rFonts w:ascii="Times New Roman" w:hAnsi="Times New Roman" w:cs="Times New Roman"/>
          <w:sz w:val="24"/>
          <w:szCs w:val="24"/>
        </w:rPr>
        <w:t>T/</w:t>
      </w:r>
      <w:r>
        <w:rPr>
          <w:rFonts w:hint="eastAsia" w:ascii="Times New Roman" w:hAnsi="Times New Roman" w:cs="Times New Roman"/>
          <w:sz w:val="24"/>
          <w:szCs w:val="24"/>
        </w:rPr>
        <w:t>CIQA</w:t>
      </w:r>
      <w:r>
        <w:rPr>
          <w:rFonts w:ascii="Times New Roman" w:hAnsi="Times New Roman" w:cs="Times New Roman"/>
          <w:sz w:val="24"/>
          <w:szCs w:val="24"/>
        </w:rPr>
        <w:t xml:space="preserve"> </w:t>
      </w:r>
      <w:r>
        <w:rPr>
          <w:rFonts w:hint="eastAsia" w:ascii="Times New Roman" w:hAnsi="Times New Roman" w:cs="Times New Roman"/>
          <w:sz w:val="24"/>
          <w:szCs w:val="24"/>
        </w:rPr>
        <w:t>xxx—</w:t>
      </w:r>
      <w:r>
        <w:rPr>
          <w:rFonts w:ascii="Times New Roman" w:hAnsi="Times New Roman" w:cs="Times New Roman"/>
          <w:sz w:val="24"/>
          <w:szCs w:val="24"/>
        </w:rPr>
        <w:t>202</w:t>
      </w:r>
      <w:r>
        <w:rPr>
          <w:rFonts w:hint="eastAsia" w:ascii="Times New Roman" w:hAnsi="Times New Roman" w:cs="Times New Roman"/>
          <w:sz w:val="24"/>
          <w:szCs w:val="24"/>
        </w:rPr>
        <w:t>4</w:t>
      </w:r>
    </w:p>
    <w:p w14:paraId="701782EE">
      <w:pPr>
        <w:rPr>
          <w:rFonts w:cs="Times New Roman"/>
          <w:szCs w:val="24"/>
        </w:rPr>
      </w:pPr>
    </w:p>
    <w:p w14:paraId="5106D59A">
      <w:pPr>
        <w:rPr>
          <w:rFonts w:cs="Times New Roman"/>
          <w:szCs w:val="24"/>
        </w:rPr>
      </w:pPr>
    </w:p>
    <w:p w14:paraId="0E3D596D">
      <w:pPr>
        <w:rPr>
          <w:rFonts w:cs="Times New Roman"/>
          <w:szCs w:val="24"/>
        </w:rPr>
      </w:pPr>
    </w:p>
    <w:p w14:paraId="629C7453">
      <w:pPr>
        <w:rPr>
          <w:rFonts w:cs="Times New Roman"/>
          <w:szCs w:val="24"/>
        </w:rPr>
      </w:pPr>
    </w:p>
    <w:p w14:paraId="27278A2B">
      <w:pPr>
        <w:rPr>
          <w:rFonts w:cs="Times New Roman"/>
          <w:szCs w:val="24"/>
        </w:rPr>
      </w:pPr>
    </w:p>
    <w:p w14:paraId="32EC4A52">
      <w:pPr>
        <w:jc w:val="center"/>
        <w:rPr>
          <w:rFonts w:cs="Times New Roman"/>
          <w:b/>
          <w:kern w:val="44"/>
          <w:sz w:val="44"/>
          <w:szCs w:val="24"/>
        </w:rPr>
      </w:pPr>
      <w:r>
        <w:rPr>
          <w:rFonts w:hint="eastAsia" w:cs="Times New Roman"/>
          <w:b/>
          <w:kern w:val="44"/>
          <w:sz w:val="44"/>
          <w:szCs w:val="24"/>
        </w:rPr>
        <w:t>品牌饰品鉴定通用技术规范</w:t>
      </w:r>
    </w:p>
    <w:p w14:paraId="2DEBF632">
      <w:pPr>
        <w:jc w:val="center"/>
        <w:rPr>
          <w:rFonts w:ascii="Times New Roman" w:hAnsi="Times New Roman" w:cs="Times New Roman"/>
          <w:b/>
          <w:sz w:val="24"/>
          <w:szCs w:val="24"/>
        </w:rPr>
      </w:pPr>
      <w:r>
        <w:rPr>
          <w:rFonts w:ascii="Times New Roman" w:hAnsi="Times New Roman" w:cs="Times New Roman"/>
          <w:b/>
          <w:sz w:val="24"/>
          <w:szCs w:val="24"/>
        </w:rPr>
        <w:t xml:space="preserve">General technical specifications for the identification of brand </w:t>
      </w:r>
      <w:r>
        <w:rPr>
          <w:rFonts w:hint="eastAsia" w:ascii="Times New Roman" w:hAnsi="Times New Roman" w:cs="Times New Roman"/>
          <w:b/>
          <w:sz w:val="24"/>
          <w:szCs w:val="24"/>
        </w:rPr>
        <w:t>a</w:t>
      </w:r>
      <w:r>
        <w:rPr>
          <w:rFonts w:ascii="Times New Roman" w:hAnsi="Times New Roman" w:cs="Times New Roman"/>
          <w:b/>
          <w:sz w:val="24"/>
          <w:szCs w:val="24"/>
        </w:rPr>
        <w:t>dornment</w:t>
      </w:r>
    </w:p>
    <w:p w14:paraId="50509DCD">
      <w:pPr>
        <w:jc w:val="center"/>
        <w:rPr>
          <w:rFonts w:ascii="Times New Roman" w:hAnsi="Times New Roman" w:cs="Times New Roman"/>
          <w:b/>
          <w:sz w:val="24"/>
          <w:szCs w:val="24"/>
        </w:rPr>
      </w:pPr>
    </w:p>
    <w:p w14:paraId="3FC29FCF">
      <w:pPr>
        <w:jc w:val="center"/>
        <w:rPr>
          <w:rFonts w:hint="eastAsia" w:eastAsia="宋体" w:cs="Times New Roman"/>
          <w:b/>
          <w:szCs w:val="24"/>
          <w:lang w:val="en-US" w:eastAsia="zh-CN"/>
        </w:rPr>
      </w:pPr>
      <w:r>
        <w:rPr>
          <w:rFonts w:hint="eastAsia" w:cs="Times New Roman"/>
          <w:b/>
          <w:szCs w:val="24"/>
          <w:lang w:val="en-US" w:eastAsia="zh-CN"/>
        </w:rPr>
        <w:t>（征求意见稿）</w:t>
      </w:r>
    </w:p>
    <w:p w14:paraId="287995FA">
      <w:pPr>
        <w:jc w:val="center"/>
        <w:rPr>
          <w:rFonts w:cs="Times New Roman"/>
          <w:szCs w:val="24"/>
        </w:rPr>
      </w:pPr>
    </w:p>
    <w:p w14:paraId="5B7B6020">
      <w:pPr>
        <w:jc w:val="center"/>
        <w:rPr>
          <w:rFonts w:cs="Times New Roman"/>
          <w:szCs w:val="24"/>
        </w:rPr>
      </w:pPr>
    </w:p>
    <w:p w14:paraId="27239055">
      <w:pPr>
        <w:jc w:val="center"/>
        <w:rPr>
          <w:rFonts w:cs="Times New Roman"/>
          <w:szCs w:val="24"/>
        </w:rPr>
      </w:pPr>
    </w:p>
    <w:p w14:paraId="1A64C527">
      <w:pPr>
        <w:jc w:val="center"/>
        <w:rPr>
          <w:rFonts w:cs="Times New Roman"/>
          <w:szCs w:val="24"/>
        </w:rPr>
      </w:pPr>
    </w:p>
    <w:p w14:paraId="26EC2C75">
      <w:pPr>
        <w:jc w:val="center"/>
        <w:rPr>
          <w:rFonts w:cs="Times New Roman"/>
          <w:szCs w:val="24"/>
        </w:rPr>
      </w:pPr>
    </w:p>
    <w:p w14:paraId="4D723C53">
      <w:pPr>
        <w:jc w:val="center"/>
        <w:rPr>
          <w:rFonts w:cs="Times New Roman"/>
          <w:szCs w:val="24"/>
        </w:rPr>
      </w:pPr>
    </w:p>
    <w:p w14:paraId="3281225B">
      <w:pPr>
        <w:jc w:val="center"/>
        <w:rPr>
          <w:rFonts w:cs="Times New Roman"/>
          <w:szCs w:val="24"/>
        </w:rPr>
      </w:pPr>
    </w:p>
    <w:p w14:paraId="1F0FCD9C">
      <w:pPr>
        <w:jc w:val="center"/>
        <w:rPr>
          <w:rFonts w:cs="Times New Roman"/>
          <w:szCs w:val="24"/>
        </w:rPr>
      </w:pPr>
    </w:p>
    <w:p w14:paraId="3C4F9743">
      <w:pPr>
        <w:jc w:val="center"/>
        <w:rPr>
          <w:rFonts w:cs="Times New Roman"/>
          <w:szCs w:val="24"/>
        </w:rPr>
      </w:pPr>
    </w:p>
    <w:p w14:paraId="546ACB04">
      <w:pPr>
        <w:jc w:val="center"/>
        <w:rPr>
          <w:rFonts w:cs="Times New Roman"/>
          <w:szCs w:val="24"/>
        </w:rPr>
      </w:pPr>
    </w:p>
    <w:p w14:paraId="1FFB44F4">
      <w:pPr>
        <w:jc w:val="center"/>
        <w:rPr>
          <w:rFonts w:cs="Times New Roman"/>
          <w:szCs w:val="24"/>
        </w:rPr>
      </w:pPr>
    </w:p>
    <w:p w14:paraId="0590F8B8">
      <w:pPr>
        <w:jc w:val="center"/>
        <w:rPr>
          <w:rFonts w:cs="Times New Roman"/>
          <w:szCs w:val="24"/>
        </w:rPr>
      </w:pPr>
    </w:p>
    <w:p w14:paraId="25A2678A">
      <w:pPr>
        <w:jc w:val="center"/>
        <w:rPr>
          <w:rFonts w:cs="Times New Roman"/>
          <w:szCs w:val="24"/>
        </w:rPr>
      </w:pPr>
    </w:p>
    <w:p w14:paraId="626AD18D">
      <w:pPr>
        <w:jc w:val="center"/>
        <w:rPr>
          <w:rFonts w:cs="Times New Roman"/>
          <w:szCs w:val="24"/>
        </w:rPr>
      </w:pPr>
    </w:p>
    <w:p w14:paraId="36F605CF">
      <w:pPr>
        <w:jc w:val="center"/>
        <w:rPr>
          <w:rFonts w:cs="Times New Roman"/>
          <w:szCs w:val="24"/>
        </w:rPr>
      </w:pPr>
    </w:p>
    <w:p w14:paraId="1749AC25">
      <w:pPr>
        <w:jc w:val="center"/>
        <w:rPr>
          <w:rFonts w:cs="Times New Roman"/>
          <w:szCs w:val="24"/>
        </w:rPr>
      </w:pPr>
    </w:p>
    <w:p w14:paraId="005DC809">
      <w:pPr>
        <w:jc w:val="center"/>
        <w:rPr>
          <w:rFonts w:cs="Times New Roman"/>
          <w:szCs w:val="24"/>
        </w:rPr>
      </w:pPr>
    </w:p>
    <w:p w14:paraId="28CFA46A">
      <w:pPr>
        <w:ind w:firstLine="280" w:firstLineChars="100"/>
        <w:jc w:val="left"/>
        <w:rPr>
          <w:rFonts w:cs="Times New Roman"/>
          <w:sz w:val="28"/>
          <w:szCs w:val="28"/>
        </w:rPr>
      </w:pPr>
      <w:r>
        <w:rPr>
          <w:rFonts w:hint="eastAsia" w:cs="Times New Roman"/>
          <w:sz w:val="28"/>
          <w:szCs w:val="28"/>
        </w:rPr>
        <w:t>202</w:t>
      </w:r>
      <w:r>
        <w:rPr>
          <w:rFonts w:cs="Times New Roman"/>
          <w:sz w:val="28"/>
          <w:szCs w:val="28"/>
        </w:rPr>
        <w:t>5</w:t>
      </w:r>
      <w:r>
        <w:rPr>
          <w:rFonts w:hint="eastAsia" w:cs="Times New Roman"/>
          <w:sz w:val="28"/>
          <w:szCs w:val="28"/>
        </w:rPr>
        <w:t>-</w:t>
      </w:r>
      <w:r>
        <w:rPr>
          <w:rFonts w:cs="Times New Roman"/>
          <w:sz w:val="28"/>
          <w:szCs w:val="28"/>
        </w:rPr>
        <w:t>XX</w:t>
      </w:r>
      <w:r>
        <w:rPr>
          <w:rFonts w:hint="eastAsia" w:cs="Times New Roman"/>
          <w:sz w:val="28"/>
          <w:szCs w:val="28"/>
        </w:rPr>
        <w:t>-</w:t>
      </w:r>
      <w:r>
        <w:rPr>
          <w:rFonts w:cs="Times New Roman"/>
          <w:sz w:val="28"/>
          <w:szCs w:val="28"/>
        </w:rPr>
        <w:t>XX</w:t>
      </w:r>
      <w:r>
        <w:rPr>
          <w:rFonts w:hint="eastAsia" w:cs="Times New Roman"/>
          <w:sz w:val="28"/>
          <w:szCs w:val="28"/>
        </w:rPr>
        <w:t xml:space="preserve"> 发布                             202</w:t>
      </w:r>
      <w:r>
        <w:rPr>
          <w:rFonts w:cs="Times New Roman"/>
          <w:sz w:val="28"/>
          <w:szCs w:val="28"/>
        </w:rPr>
        <w:t>5</w:t>
      </w:r>
      <w:r>
        <w:rPr>
          <w:rFonts w:hint="eastAsia" w:cs="Times New Roman"/>
          <w:sz w:val="28"/>
          <w:szCs w:val="28"/>
        </w:rPr>
        <w:t>-</w:t>
      </w:r>
      <w:r>
        <w:rPr>
          <w:rFonts w:cs="Times New Roman"/>
          <w:sz w:val="28"/>
          <w:szCs w:val="28"/>
        </w:rPr>
        <w:t>XX</w:t>
      </w:r>
      <w:r>
        <w:rPr>
          <w:rFonts w:hint="eastAsia" w:cs="Times New Roman"/>
          <w:sz w:val="28"/>
          <w:szCs w:val="28"/>
        </w:rPr>
        <w:t>-</w:t>
      </w:r>
      <w:r>
        <w:rPr>
          <w:rFonts w:cs="Times New Roman"/>
          <w:sz w:val="28"/>
          <w:szCs w:val="28"/>
        </w:rPr>
        <w:t>XX</w:t>
      </w:r>
      <w:r>
        <w:rPr>
          <w:rFonts w:hint="eastAsia" w:cs="Times New Roman"/>
          <w:sz w:val="28"/>
          <w:szCs w:val="28"/>
        </w:rPr>
        <w:t>实施</w:t>
      </w:r>
    </w:p>
    <w:p w14:paraId="40E33141">
      <w:pPr>
        <w:jc w:val="center"/>
        <w:rPr>
          <w:rFonts w:cs="Times New Roman"/>
          <w:b/>
          <w:sz w:val="28"/>
          <w:szCs w:val="28"/>
        </w:rPr>
        <w:sectPr>
          <w:footerReference r:id="rId5" w:type="first"/>
          <w:headerReference r:id="rId3" w:type="even"/>
          <w:footerReference r:id="rId4" w:type="even"/>
          <w:pgSz w:w="11906" w:h="16838"/>
          <w:pgMar w:top="1440" w:right="1800" w:bottom="1440" w:left="1800" w:header="851" w:footer="992" w:gutter="0"/>
          <w:cols w:space="425" w:num="1"/>
          <w:docGrid w:type="lines" w:linePitch="312" w:charSpace="0"/>
        </w:sectPr>
      </w:pPr>
      <w:r>
        <w:rPr>
          <w:rFonts w:hint="eastAsia" w:cs="Times New Roman"/>
          <w:sz w:val="28"/>
          <w:szCs w:val="28"/>
        </w:rPr>
        <w:t>中国出入境检验检疫协会</w:t>
      </w:r>
      <w:r>
        <w:rPr>
          <w:rFonts w:cs="Times New Roman"/>
          <w:sz w:val="28"/>
          <w:szCs w:val="28"/>
        </w:rPr>
        <mc:AlternateContent>
          <mc:Choice Requires="wps">
            <w:drawing>
              <wp:anchor distT="0" distB="0" distL="114300" distR="114300" simplePos="0" relativeHeight="251659264" behindDoc="0" locked="0" layoutInCell="1" allowOverlap="1">
                <wp:simplePos x="0" y="0"/>
                <wp:positionH relativeFrom="column">
                  <wp:posOffset>36195</wp:posOffset>
                </wp:positionH>
                <wp:positionV relativeFrom="paragraph">
                  <wp:posOffset>11430</wp:posOffset>
                </wp:positionV>
                <wp:extent cx="5943600" cy="0"/>
                <wp:effectExtent l="0" t="0" r="0" b="0"/>
                <wp:wrapNone/>
                <wp:docPr id="1" name="直接箭头连接符 7"/>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straightConnector1">
                          <a:avLst/>
                        </a:prstGeom>
                        <a:noFill/>
                        <a:ln w="9525">
                          <a:solidFill>
                            <a:srgbClr val="000000"/>
                          </a:solidFill>
                          <a:round/>
                        </a:ln>
                        <a:effectLst/>
                      </wps:spPr>
                      <wps:bodyPr/>
                    </wps:wsp>
                  </a:graphicData>
                </a:graphic>
              </wp:anchor>
            </w:drawing>
          </mc:Choice>
          <mc:Fallback>
            <w:pict>
              <v:shape id="直接箭头连接符 7" o:spid="_x0000_s1026" o:spt="32" type="#_x0000_t32" style="position:absolute;left:0pt;margin-left:2.85pt;margin-top:0.9pt;height:0pt;width:468pt;z-index:251659264;mso-width-relative:page;mso-height-relative:page;" filled="f" stroked="t" coordsize="21600,21600" o:gfxdata="UEsDBAoAAAAAAIdO4kAAAAAAAAAAAAAAAAAEAAAAZHJzL1BLAwQUAAAACACHTuJAa7kiQ9EAAAAF&#10;AQAADwAAAGRycy9kb3ducmV2LnhtbE2OwU7DMBBE75X4B2uRuFTUTkWBhjgVQuLAkbYS1228JIF4&#10;HcVOU/r1LFzg+HZGs6/YnHynjjTENrCFbGFAEVfBtVxb2O+er+9BxYTssAtMFr4owqa8mBWYuzDx&#10;Kx23qVYywjFHC01Kfa51rBryGBehJ5bsPQwek+BQazfgJOO+00tjbrXHluVDgz09NVR9bkdvgeK4&#10;yszj2tf7l/M0f1ueP6Z+Z+3VZWYeQCU6pb8y/OiLOpTidAgju6g6C6s7KcpZ/CVd32TCh1/WZaH/&#10;25ffUEsDBBQAAAAIAIdO4kB+/vbi+gEAAMwDAAAOAAAAZHJzL2Uyb0RvYy54bWytU81uEzEQviPx&#10;DpbvZDeBFLrKpodE5VIgUssDOF7vroXXY3mcbPISvAASJ+BUOPXO00B5DMbOD6VcemAPlu3xfDPf&#10;N99OzjadYWvlUYMt+XCQc6ashErbpuRvr86fvOAMg7CVMGBVybcK+dn08aNJ7wo1ghZMpTwjEItF&#10;70rehuCKLEPZqk7gAJyyFKzBdyLQ0TdZ5UVP6J3JRnl+kvXgK+dBKkS6ne+CfI/oHwIIda2lmoNc&#10;dcqGHapXRgSihK12yKep27pWMrypa1SBmZIT05BWKkL7ZVyz6UQUjReu1XLfgnhIC/c4dUJbKnqE&#10;mosg2Mrrf6A6LT0g1GEgoct2RJIixGKY39PmshVOJS4kNbqj6Pj/YOXr9cIzXZETOLOio4Hffrj5&#10;+f7z7bevPz7d/Pr+Me6vv7DnUareYUEZM7vwkazc2Et3AfIdMguzVthGpZavto5whjEj+yslHtBR&#10;wWX/Cip6I1YBkm6b2ncRkhRhmzSe7XE8ahOYpMvx6bOnJzlNTh5imSgOic5jeKmgY3FTcgxe6KYN&#10;M7CWTAB+mMqI9QWG2JYoDgmxqoVzbUzygrGsL/npeDROCQhGVzEYn6FvljPj2VpEN6UvcaTI3Wce&#10;VrbaFTE25qlkxH3lgwY7NZdQbRf+IBQNOfW2N2R00d1zkvPPTzj9D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Gu5IkPRAAAABQEAAA8AAAAAAAAAAQAgAAAAIgAAAGRycy9kb3ducmV2LnhtbFBLAQIU&#10;ABQAAAAIAIdO4kB+/vbi+gEAAMwDAAAOAAAAAAAAAAEAIAAAACABAABkcnMvZTJvRG9jLnhtbFBL&#10;BQYAAAAABgAGAFkBAACMBQAAAAA=&#10;">
                <v:fill on="f" focussize="0,0"/>
                <v:stroke color="#000000" joinstyle="round"/>
                <v:imagedata o:title=""/>
                <o:lock v:ext="edit" aspectratio="f"/>
              </v:shape>
            </w:pict>
          </mc:Fallback>
        </mc:AlternateContent>
      </w:r>
      <w:r>
        <w:rPr>
          <w:rFonts w:hint="eastAsia" w:cs="Times New Roman"/>
          <w:sz w:val="28"/>
          <w:szCs w:val="28"/>
        </w:rPr>
        <w:t xml:space="preserve">   </w:t>
      </w:r>
      <w:r>
        <w:rPr>
          <w:rFonts w:hint="eastAsia" w:cs="Times New Roman"/>
          <w:b/>
          <w:sz w:val="28"/>
          <w:szCs w:val="28"/>
        </w:rPr>
        <w:t>发 布</w:t>
      </w:r>
    </w:p>
    <w:p w14:paraId="33635F4E">
      <w:pPr>
        <w:widowControl/>
        <w:spacing w:after="360" w:afterLines="150"/>
        <w:jc w:val="center"/>
        <w:rPr>
          <w:rFonts w:ascii="黑体" w:hAnsi="宋体" w:eastAsia="黑体" w:cs="宋体"/>
          <w:kern w:val="0"/>
          <w:sz w:val="32"/>
          <w:szCs w:val="24"/>
        </w:rPr>
      </w:pPr>
      <w:bookmarkStart w:id="0" w:name="BookMark1"/>
      <w:r>
        <w:rPr>
          <w:rFonts w:ascii="黑体" w:hAnsi="宋体" w:eastAsia="黑体" w:cs="宋体"/>
          <w:spacing w:val="320"/>
          <w:kern w:val="0"/>
          <w:sz w:val="32"/>
          <w:szCs w:val="24"/>
        </w:rPr>
        <w:t>目</w:t>
      </w:r>
      <w:r>
        <w:rPr>
          <w:rFonts w:ascii="黑体" w:hAnsi="宋体" w:eastAsia="黑体" w:cs="宋体"/>
          <w:kern w:val="0"/>
          <w:sz w:val="32"/>
          <w:szCs w:val="24"/>
        </w:rPr>
        <w:t>次</w:t>
      </w:r>
    </w:p>
    <w:p w14:paraId="488A44FC">
      <w:pPr>
        <w:pStyle w:val="20"/>
        <w:tabs>
          <w:tab w:val="right" w:leader="dot" w:pos="9344"/>
        </w:tabs>
        <w:rPr>
          <w:rFonts w:asciiTheme="minorHAnsi" w:hAnsiTheme="minorHAnsi" w:eastAsiaTheme="minorEastAsia" w:cstheme="minorBidi"/>
          <w:kern w:val="2"/>
          <w:sz w:val="22"/>
          <w14:ligatures w14:val="standardContextual"/>
        </w:rPr>
      </w:pPr>
      <w:r>
        <w:fldChar w:fldCharType="begin"/>
      </w:r>
      <w:r>
        <w:instrText xml:space="preserve"> TOC \o "1-1" \h \t "标准文件_一级条标题,2,标准文件_二级条标题,3,标准文件_附录一级条标题,2,标准文件_附录二级条标题,3," </w:instrText>
      </w:r>
      <w:r>
        <w:fldChar w:fldCharType="separate"/>
      </w:r>
      <w:r>
        <w:fldChar w:fldCharType="begin"/>
      </w:r>
      <w:r>
        <w:instrText xml:space="preserve"> HYPERLINK \l "_Toc192946494" </w:instrText>
      </w:r>
      <w:r>
        <w:fldChar w:fldCharType="separate"/>
      </w:r>
      <w:r>
        <w:rPr>
          <w:rStyle w:val="34"/>
          <w:spacing w:val="320"/>
        </w:rPr>
        <w:t>前言</w:t>
      </w:r>
      <w:r>
        <w:tab/>
      </w:r>
      <w:r>
        <w:fldChar w:fldCharType="begin"/>
      </w:r>
      <w:r>
        <w:instrText xml:space="preserve"> PAGEREF _Toc192946494 \h </w:instrText>
      </w:r>
      <w:r>
        <w:fldChar w:fldCharType="separate"/>
      </w:r>
      <w:r>
        <w:t>II</w:t>
      </w:r>
      <w:r>
        <w:fldChar w:fldCharType="end"/>
      </w:r>
      <w:r>
        <w:fldChar w:fldCharType="end"/>
      </w:r>
    </w:p>
    <w:p w14:paraId="7B8548FE">
      <w:pPr>
        <w:pStyle w:val="20"/>
        <w:tabs>
          <w:tab w:val="left" w:pos="420"/>
          <w:tab w:val="right" w:leader="dot" w:pos="9344"/>
        </w:tabs>
        <w:rPr>
          <w:rFonts w:asciiTheme="minorHAnsi" w:hAnsiTheme="minorHAnsi" w:eastAsiaTheme="minorEastAsia" w:cstheme="minorBidi"/>
          <w:kern w:val="2"/>
          <w:sz w:val="22"/>
          <w14:ligatures w14:val="standardContextual"/>
        </w:rPr>
      </w:pPr>
      <w:r>
        <w:fldChar w:fldCharType="begin"/>
      </w:r>
      <w:r>
        <w:instrText xml:space="preserve"> HYPERLINK \l "_Toc192946495" </w:instrText>
      </w:r>
      <w:r>
        <w:fldChar w:fldCharType="separate"/>
      </w:r>
      <w:r>
        <w:rPr>
          <w:rStyle w:val="34"/>
        </w:rPr>
        <w:t>1</w:t>
      </w:r>
      <w:r>
        <w:rPr>
          <w:rFonts w:asciiTheme="minorHAnsi" w:hAnsiTheme="minorHAnsi" w:eastAsiaTheme="minorEastAsia" w:cstheme="minorBidi"/>
          <w:kern w:val="2"/>
          <w:sz w:val="22"/>
          <w14:ligatures w14:val="standardContextual"/>
        </w:rPr>
        <w:tab/>
      </w:r>
      <w:r>
        <w:rPr>
          <w:rStyle w:val="34"/>
        </w:rPr>
        <w:t>范围</w:t>
      </w:r>
      <w:r>
        <w:tab/>
      </w:r>
      <w:r>
        <w:fldChar w:fldCharType="begin"/>
      </w:r>
      <w:r>
        <w:instrText xml:space="preserve"> PAGEREF _Toc192946495 \h </w:instrText>
      </w:r>
      <w:r>
        <w:fldChar w:fldCharType="separate"/>
      </w:r>
      <w:r>
        <w:t>3</w:t>
      </w:r>
      <w:r>
        <w:fldChar w:fldCharType="end"/>
      </w:r>
      <w:r>
        <w:fldChar w:fldCharType="end"/>
      </w:r>
    </w:p>
    <w:p w14:paraId="434E231F">
      <w:pPr>
        <w:pStyle w:val="20"/>
        <w:tabs>
          <w:tab w:val="left" w:pos="420"/>
          <w:tab w:val="right" w:leader="dot" w:pos="9344"/>
        </w:tabs>
        <w:rPr>
          <w:rFonts w:asciiTheme="minorHAnsi" w:hAnsiTheme="minorHAnsi" w:eastAsiaTheme="minorEastAsia" w:cstheme="minorBidi"/>
          <w:kern w:val="2"/>
          <w:sz w:val="22"/>
          <w14:ligatures w14:val="standardContextual"/>
        </w:rPr>
      </w:pPr>
      <w:r>
        <w:fldChar w:fldCharType="begin"/>
      </w:r>
      <w:r>
        <w:instrText xml:space="preserve"> HYPERLINK \l "_Toc192946496" </w:instrText>
      </w:r>
      <w:r>
        <w:fldChar w:fldCharType="separate"/>
      </w:r>
      <w:r>
        <w:rPr>
          <w:rStyle w:val="34"/>
        </w:rPr>
        <w:t>2</w:t>
      </w:r>
      <w:r>
        <w:rPr>
          <w:rFonts w:asciiTheme="minorHAnsi" w:hAnsiTheme="minorHAnsi" w:eastAsiaTheme="minorEastAsia" w:cstheme="minorBidi"/>
          <w:kern w:val="2"/>
          <w:sz w:val="22"/>
          <w14:ligatures w14:val="standardContextual"/>
        </w:rPr>
        <w:tab/>
      </w:r>
      <w:r>
        <w:rPr>
          <w:rStyle w:val="34"/>
        </w:rPr>
        <w:t>规范性引用文件</w:t>
      </w:r>
      <w:r>
        <w:tab/>
      </w:r>
      <w:r>
        <w:fldChar w:fldCharType="begin"/>
      </w:r>
      <w:r>
        <w:instrText xml:space="preserve"> PAGEREF _Toc192946496 \h </w:instrText>
      </w:r>
      <w:r>
        <w:fldChar w:fldCharType="separate"/>
      </w:r>
      <w:r>
        <w:t>3</w:t>
      </w:r>
      <w:r>
        <w:fldChar w:fldCharType="end"/>
      </w:r>
      <w:r>
        <w:fldChar w:fldCharType="end"/>
      </w:r>
    </w:p>
    <w:p w14:paraId="27A636DA">
      <w:pPr>
        <w:pStyle w:val="20"/>
        <w:tabs>
          <w:tab w:val="left" w:pos="420"/>
          <w:tab w:val="right" w:leader="dot" w:pos="9344"/>
        </w:tabs>
        <w:rPr>
          <w:rFonts w:asciiTheme="minorHAnsi" w:hAnsiTheme="minorHAnsi" w:eastAsiaTheme="minorEastAsia" w:cstheme="minorBidi"/>
          <w:kern w:val="2"/>
          <w:sz w:val="22"/>
          <w14:ligatures w14:val="standardContextual"/>
        </w:rPr>
      </w:pPr>
      <w:r>
        <w:fldChar w:fldCharType="begin"/>
      </w:r>
      <w:r>
        <w:instrText xml:space="preserve"> HYPERLINK \l "_Toc192946497" </w:instrText>
      </w:r>
      <w:r>
        <w:fldChar w:fldCharType="separate"/>
      </w:r>
      <w:r>
        <w:rPr>
          <w:rStyle w:val="34"/>
        </w:rPr>
        <w:t>3</w:t>
      </w:r>
      <w:r>
        <w:rPr>
          <w:rFonts w:asciiTheme="minorHAnsi" w:hAnsiTheme="minorHAnsi" w:eastAsiaTheme="minorEastAsia" w:cstheme="minorBidi"/>
          <w:kern w:val="2"/>
          <w:sz w:val="22"/>
          <w14:ligatures w14:val="standardContextual"/>
        </w:rPr>
        <w:tab/>
      </w:r>
      <w:r>
        <w:rPr>
          <w:rStyle w:val="34"/>
        </w:rPr>
        <w:t>术语和定义</w:t>
      </w:r>
      <w:r>
        <w:tab/>
      </w:r>
      <w:r>
        <w:fldChar w:fldCharType="begin"/>
      </w:r>
      <w:r>
        <w:instrText xml:space="preserve"> PAGEREF _Toc192946497 \h </w:instrText>
      </w:r>
      <w:r>
        <w:fldChar w:fldCharType="separate"/>
      </w:r>
      <w:r>
        <w:t>3</w:t>
      </w:r>
      <w:r>
        <w:fldChar w:fldCharType="end"/>
      </w:r>
      <w:r>
        <w:fldChar w:fldCharType="end"/>
      </w:r>
    </w:p>
    <w:p w14:paraId="2E9313D3">
      <w:pPr>
        <w:pStyle w:val="20"/>
        <w:tabs>
          <w:tab w:val="left" w:pos="420"/>
          <w:tab w:val="right" w:leader="dot" w:pos="9344"/>
        </w:tabs>
        <w:rPr>
          <w:rFonts w:asciiTheme="minorHAnsi" w:hAnsiTheme="minorHAnsi" w:eastAsiaTheme="minorEastAsia" w:cstheme="minorBidi"/>
          <w:kern w:val="2"/>
          <w:sz w:val="22"/>
          <w14:ligatures w14:val="standardContextual"/>
        </w:rPr>
      </w:pPr>
      <w:r>
        <w:fldChar w:fldCharType="begin"/>
      </w:r>
      <w:r>
        <w:instrText xml:space="preserve"> HYPERLINK \l "_Toc192946498" </w:instrText>
      </w:r>
      <w:r>
        <w:fldChar w:fldCharType="separate"/>
      </w:r>
      <w:r>
        <w:rPr>
          <w:rStyle w:val="34"/>
        </w:rPr>
        <w:t>4</w:t>
      </w:r>
      <w:r>
        <w:rPr>
          <w:rFonts w:asciiTheme="minorHAnsi" w:hAnsiTheme="minorHAnsi" w:eastAsiaTheme="minorEastAsia" w:cstheme="minorBidi"/>
          <w:kern w:val="2"/>
          <w:sz w:val="22"/>
          <w14:ligatures w14:val="standardContextual"/>
        </w:rPr>
        <w:tab/>
      </w:r>
      <w:r>
        <w:rPr>
          <w:rStyle w:val="34"/>
        </w:rPr>
        <w:t>鉴定机构</w:t>
      </w:r>
      <w:r>
        <w:tab/>
      </w:r>
      <w:r>
        <w:fldChar w:fldCharType="begin"/>
      </w:r>
      <w:r>
        <w:instrText xml:space="preserve"> PAGEREF _Toc192946498 \h </w:instrText>
      </w:r>
      <w:r>
        <w:fldChar w:fldCharType="separate"/>
      </w:r>
      <w:r>
        <w:t>4</w:t>
      </w:r>
      <w:r>
        <w:fldChar w:fldCharType="end"/>
      </w:r>
      <w:r>
        <w:fldChar w:fldCharType="end"/>
      </w:r>
    </w:p>
    <w:p w14:paraId="5B6C5C31">
      <w:pPr>
        <w:pStyle w:val="20"/>
        <w:tabs>
          <w:tab w:val="left" w:pos="420"/>
          <w:tab w:val="right" w:leader="dot" w:pos="9344"/>
        </w:tabs>
        <w:rPr>
          <w:rFonts w:asciiTheme="minorHAnsi" w:hAnsiTheme="minorHAnsi" w:eastAsiaTheme="minorEastAsia" w:cstheme="minorBidi"/>
          <w:kern w:val="2"/>
          <w:sz w:val="22"/>
          <w14:ligatures w14:val="standardContextual"/>
        </w:rPr>
      </w:pPr>
      <w:r>
        <w:fldChar w:fldCharType="begin"/>
      </w:r>
      <w:r>
        <w:instrText xml:space="preserve"> HYPERLINK \l "_Toc192946499" </w:instrText>
      </w:r>
      <w:r>
        <w:fldChar w:fldCharType="separate"/>
      </w:r>
      <w:r>
        <w:rPr>
          <w:rStyle w:val="34"/>
        </w:rPr>
        <w:t>5</w:t>
      </w:r>
      <w:r>
        <w:rPr>
          <w:rFonts w:asciiTheme="minorHAnsi" w:hAnsiTheme="minorHAnsi" w:eastAsiaTheme="minorEastAsia" w:cstheme="minorBidi"/>
          <w:kern w:val="2"/>
          <w:sz w:val="22"/>
          <w14:ligatures w14:val="standardContextual"/>
        </w:rPr>
        <w:tab/>
      </w:r>
      <w:r>
        <w:rPr>
          <w:rStyle w:val="34"/>
        </w:rPr>
        <w:t>鉴定人员</w:t>
      </w:r>
      <w:r>
        <w:tab/>
      </w:r>
      <w:r>
        <w:fldChar w:fldCharType="begin"/>
      </w:r>
      <w:r>
        <w:instrText xml:space="preserve"> PAGEREF _Toc192946499 \h </w:instrText>
      </w:r>
      <w:r>
        <w:fldChar w:fldCharType="separate"/>
      </w:r>
      <w:r>
        <w:t>5</w:t>
      </w:r>
      <w:r>
        <w:fldChar w:fldCharType="end"/>
      </w:r>
      <w:r>
        <w:fldChar w:fldCharType="end"/>
      </w:r>
    </w:p>
    <w:p w14:paraId="6719BC22">
      <w:pPr>
        <w:pStyle w:val="20"/>
        <w:tabs>
          <w:tab w:val="left" w:pos="420"/>
          <w:tab w:val="right" w:leader="dot" w:pos="9344"/>
        </w:tabs>
        <w:rPr>
          <w:rFonts w:asciiTheme="minorHAnsi" w:hAnsiTheme="minorHAnsi" w:eastAsiaTheme="minorEastAsia" w:cstheme="minorBidi"/>
          <w:kern w:val="2"/>
          <w:sz w:val="22"/>
          <w14:ligatures w14:val="standardContextual"/>
        </w:rPr>
      </w:pPr>
      <w:r>
        <w:fldChar w:fldCharType="begin"/>
      </w:r>
      <w:r>
        <w:instrText xml:space="preserve"> HYPERLINK \l "_Toc192946500" </w:instrText>
      </w:r>
      <w:r>
        <w:fldChar w:fldCharType="separate"/>
      </w:r>
      <w:r>
        <w:rPr>
          <w:rStyle w:val="34"/>
        </w:rPr>
        <w:t>6</w:t>
      </w:r>
      <w:r>
        <w:rPr>
          <w:rFonts w:asciiTheme="minorHAnsi" w:hAnsiTheme="minorHAnsi" w:eastAsiaTheme="minorEastAsia" w:cstheme="minorBidi"/>
          <w:kern w:val="2"/>
          <w:sz w:val="22"/>
          <w14:ligatures w14:val="standardContextual"/>
        </w:rPr>
        <w:tab/>
      </w:r>
      <w:r>
        <w:rPr>
          <w:rStyle w:val="34"/>
        </w:rPr>
        <w:t>仪器与设备</w:t>
      </w:r>
      <w:r>
        <w:tab/>
      </w:r>
      <w:r>
        <w:fldChar w:fldCharType="begin"/>
      </w:r>
      <w:r>
        <w:instrText xml:space="preserve"> PAGEREF _Toc192946500 \h </w:instrText>
      </w:r>
      <w:r>
        <w:fldChar w:fldCharType="separate"/>
      </w:r>
      <w:r>
        <w:t>5</w:t>
      </w:r>
      <w:r>
        <w:fldChar w:fldCharType="end"/>
      </w:r>
      <w:r>
        <w:fldChar w:fldCharType="end"/>
      </w:r>
    </w:p>
    <w:p w14:paraId="6153599D">
      <w:pPr>
        <w:pStyle w:val="20"/>
        <w:tabs>
          <w:tab w:val="left" w:pos="420"/>
          <w:tab w:val="right" w:leader="dot" w:pos="9344"/>
        </w:tabs>
        <w:rPr>
          <w:rFonts w:asciiTheme="minorHAnsi" w:hAnsiTheme="minorHAnsi" w:eastAsiaTheme="minorEastAsia" w:cstheme="minorBidi"/>
          <w:kern w:val="2"/>
          <w:sz w:val="22"/>
          <w14:ligatures w14:val="standardContextual"/>
        </w:rPr>
      </w:pPr>
      <w:r>
        <w:fldChar w:fldCharType="begin"/>
      </w:r>
      <w:r>
        <w:instrText xml:space="preserve"> HYPERLINK \l "_Toc192946501" </w:instrText>
      </w:r>
      <w:r>
        <w:fldChar w:fldCharType="separate"/>
      </w:r>
      <w:r>
        <w:rPr>
          <w:rStyle w:val="34"/>
        </w:rPr>
        <w:t>7</w:t>
      </w:r>
      <w:r>
        <w:rPr>
          <w:rFonts w:asciiTheme="minorHAnsi" w:hAnsiTheme="minorHAnsi" w:eastAsiaTheme="minorEastAsia" w:cstheme="minorBidi"/>
          <w:kern w:val="2"/>
          <w:sz w:val="22"/>
          <w14:ligatures w14:val="standardContextual"/>
        </w:rPr>
        <w:tab/>
      </w:r>
      <w:r>
        <w:rPr>
          <w:rStyle w:val="34"/>
        </w:rPr>
        <w:t>鉴定环境</w:t>
      </w:r>
      <w:r>
        <w:tab/>
      </w:r>
      <w:r>
        <w:fldChar w:fldCharType="begin"/>
      </w:r>
      <w:r>
        <w:instrText xml:space="preserve"> PAGEREF _Toc192946501 \h </w:instrText>
      </w:r>
      <w:r>
        <w:fldChar w:fldCharType="separate"/>
      </w:r>
      <w:r>
        <w:t>5</w:t>
      </w:r>
      <w:r>
        <w:fldChar w:fldCharType="end"/>
      </w:r>
      <w:r>
        <w:fldChar w:fldCharType="end"/>
      </w:r>
    </w:p>
    <w:p w14:paraId="55A1C023">
      <w:pPr>
        <w:pStyle w:val="20"/>
        <w:tabs>
          <w:tab w:val="left" w:pos="420"/>
          <w:tab w:val="right" w:leader="dot" w:pos="9344"/>
        </w:tabs>
        <w:rPr>
          <w:rFonts w:asciiTheme="minorHAnsi" w:hAnsiTheme="minorHAnsi" w:eastAsiaTheme="minorEastAsia" w:cstheme="minorBidi"/>
          <w:kern w:val="2"/>
          <w:sz w:val="22"/>
          <w14:ligatures w14:val="standardContextual"/>
        </w:rPr>
      </w:pPr>
      <w:r>
        <w:fldChar w:fldCharType="begin"/>
      </w:r>
      <w:r>
        <w:instrText xml:space="preserve"> HYPERLINK \l "_Toc192946502" </w:instrText>
      </w:r>
      <w:r>
        <w:fldChar w:fldCharType="separate"/>
      </w:r>
      <w:r>
        <w:rPr>
          <w:rStyle w:val="34"/>
        </w:rPr>
        <w:t>8</w:t>
      </w:r>
      <w:r>
        <w:rPr>
          <w:rFonts w:asciiTheme="minorHAnsi" w:hAnsiTheme="minorHAnsi" w:eastAsiaTheme="minorEastAsia" w:cstheme="minorBidi"/>
          <w:kern w:val="2"/>
          <w:sz w:val="22"/>
          <w14:ligatures w14:val="standardContextual"/>
        </w:rPr>
        <w:tab/>
      </w:r>
      <w:r>
        <w:rPr>
          <w:rStyle w:val="34"/>
        </w:rPr>
        <w:t>鉴定程序</w:t>
      </w:r>
      <w:r>
        <w:tab/>
      </w:r>
      <w:r>
        <w:fldChar w:fldCharType="begin"/>
      </w:r>
      <w:r>
        <w:instrText xml:space="preserve"> PAGEREF _Toc192946502 \h </w:instrText>
      </w:r>
      <w:r>
        <w:fldChar w:fldCharType="separate"/>
      </w:r>
      <w:r>
        <w:t>5</w:t>
      </w:r>
      <w:r>
        <w:fldChar w:fldCharType="end"/>
      </w:r>
      <w:r>
        <w:fldChar w:fldCharType="end"/>
      </w:r>
    </w:p>
    <w:p w14:paraId="3954F254">
      <w:pPr>
        <w:pStyle w:val="20"/>
        <w:tabs>
          <w:tab w:val="right" w:leader="dot" w:pos="9344"/>
        </w:tabs>
        <w:rPr>
          <w:rFonts w:asciiTheme="minorHAnsi" w:hAnsiTheme="minorHAnsi" w:eastAsiaTheme="minorEastAsia" w:cstheme="minorBidi"/>
          <w:kern w:val="2"/>
          <w:sz w:val="22"/>
          <w14:ligatures w14:val="standardContextual"/>
        </w:rPr>
      </w:pPr>
      <w:r>
        <w:fldChar w:fldCharType="begin"/>
      </w:r>
      <w:r>
        <w:instrText xml:space="preserve"> HYPERLINK \l "_Toc192946503" </w:instrText>
      </w:r>
      <w:r>
        <w:fldChar w:fldCharType="separate"/>
      </w:r>
      <w:r>
        <w:rPr>
          <w:rStyle w:val="34"/>
          <w:spacing w:val="120"/>
        </w:rPr>
        <w:t>参考文</w:t>
      </w:r>
      <w:r>
        <w:rPr>
          <w:rStyle w:val="34"/>
        </w:rPr>
        <w:t>献</w:t>
      </w:r>
      <w:r>
        <w:tab/>
      </w:r>
      <w:r>
        <w:fldChar w:fldCharType="begin"/>
      </w:r>
      <w:r>
        <w:instrText xml:space="preserve"> PAGEREF _Toc192946503 \h </w:instrText>
      </w:r>
      <w:r>
        <w:fldChar w:fldCharType="separate"/>
      </w:r>
      <w:r>
        <w:t>9</w:t>
      </w:r>
      <w:r>
        <w:fldChar w:fldCharType="end"/>
      </w:r>
      <w:r>
        <w:fldChar w:fldCharType="end"/>
      </w:r>
    </w:p>
    <w:p w14:paraId="4D250396">
      <w:pPr>
        <w:widowControl/>
        <w:spacing w:after="360" w:afterLines="150"/>
        <w:jc w:val="center"/>
        <w:rPr>
          <w:rFonts w:ascii="黑体" w:hAnsi="宋体" w:eastAsia="黑体" w:cs="宋体"/>
          <w:kern w:val="0"/>
          <w:sz w:val="32"/>
          <w:szCs w:val="24"/>
        </w:rPr>
        <w:sectPr>
          <w:headerReference r:id="rId6" w:type="default"/>
          <w:footerReference r:id="rId8" w:type="default"/>
          <w:headerReference r:id="rId7" w:type="even"/>
          <w:pgSz w:w="11906" w:h="16838"/>
          <w:pgMar w:top="2410" w:right="1134" w:bottom="1134" w:left="1134" w:header="1418" w:footer="1134" w:gutter="284"/>
          <w:pgNumType w:fmt="upperRoman" w:start="1"/>
          <w:cols w:space="425" w:num="1"/>
          <w:formProt w:val="0"/>
          <w:docGrid w:linePitch="312" w:charSpace="0"/>
        </w:sectPr>
      </w:pPr>
      <w:r>
        <w:rPr>
          <w:rFonts w:ascii="黑体" w:hAnsi="宋体" w:eastAsia="黑体" w:cs="宋体"/>
          <w:kern w:val="0"/>
          <w:sz w:val="32"/>
          <w:szCs w:val="24"/>
        </w:rPr>
        <w:fldChar w:fldCharType="end"/>
      </w:r>
    </w:p>
    <w:bookmarkEnd w:id="0"/>
    <w:p w14:paraId="20077F90">
      <w:pPr>
        <w:pStyle w:val="92"/>
        <w:spacing w:after="360"/>
        <w:rPr>
          <w:spacing w:val="320"/>
        </w:rPr>
      </w:pPr>
      <w:bookmarkStart w:id="1" w:name="_Toc192946494"/>
      <w:bookmarkStart w:id="2" w:name="BookMark2"/>
      <w:r>
        <w:rPr>
          <w:rFonts w:hint="eastAsia"/>
          <w:spacing w:val="320"/>
        </w:rPr>
        <w:t>前言</w:t>
      </w:r>
      <w:bookmarkEnd w:id="1"/>
    </w:p>
    <w:p w14:paraId="5AB58AA2">
      <w:pPr>
        <w:widowControl/>
        <w:autoSpaceDE w:val="0"/>
        <w:autoSpaceDN w:val="0"/>
        <w:ind w:firstLine="420" w:firstLineChars="200"/>
        <w:jc w:val="left"/>
        <w:rPr>
          <w:rFonts w:ascii="宋体" w:hAnsi="Times New Roman" w:cs="Times New Roman"/>
          <w:kern w:val="0"/>
          <w:szCs w:val="20"/>
        </w:rPr>
      </w:pPr>
      <w:r>
        <w:rPr>
          <w:rFonts w:hint="eastAsia" w:ascii="宋体" w:hAnsi="Times New Roman" w:cs="Times New Roman"/>
          <w:kern w:val="0"/>
          <w:szCs w:val="20"/>
        </w:rPr>
        <w:t>本文件按照GB/T 1.1—2020《标准化工作导则  第1部分：标准化文件的结构和起草规则》的规定起草。</w:t>
      </w:r>
    </w:p>
    <w:p w14:paraId="01944218">
      <w:pPr>
        <w:widowControl/>
        <w:autoSpaceDE w:val="0"/>
        <w:autoSpaceDN w:val="0"/>
        <w:ind w:firstLine="420" w:firstLineChars="200"/>
        <w:jc w:val="left"/>
        <w:rPr>
          <w:rFonts w:ascii="宋体" w:hAnsi="Times New Roman" w:cs="Times New Roman"/>
          <w:kern w:val="0"/>
          <w:szCs w:val="20"/>
        </w:rPr>
      </w:pPr>
      <w:r>
        <w:rPr>
          <w:rFonts w:hint="eastAsia" w:ascii="宋体" w:hAnsi="Times New Roman" w:cs="Times New Roman"/>
          <w:color w:val="000000"/>
          <w:kern w:val="0"/>
          <w:szCs w:val="21"/>
        </w:rPr>
        <w:t>请注意本文件的某些内容可能涉及专利。本文件的发布机构不承担识别这些专利的责任。</w:t>
      </w:r>
    </w:p>
    <w:p w14:paraId="2FB85302">
      <w:pPr>
        <w:widowControl/>
        <w:autoSpaceDE w:val="0"/>
        <w:autoSpaceDN w:val="0"/>
        <w:ind w:firstLine="420" w:firstLineChars="200"/>
        <w:jc w:val="left"/>
        <w:rPr>
          <w:rFonts w:ascii="宋体" w:hAnsi="Times New Roman" w:cs="Times New Roman"/>
          <w:kern w:val="0"/>
          <w:szCs w:val="20"/>
        </w:rPr>
      </w:pPr>
      <w:r>
        <w:rPr>
          <w:rFonts w:hint="eastAsia" w:ascii="宋体" w:hAnsi="Times New Roman" w:cs="Times New Roman"/>
          <w:kern w:val="0"/>
          <w:szCs w:val="20"/>
        </w:rPr>
        <w:t>本标准由中国出入境检验检疫协会高端消费品标准化技术委员会（CIQA/TC</w:t>
      </w:r>
      <w:bookmarkStart w:id="120" w:name="_GoBack"/>
      <w:bookmarkEnd w:id="120"/>
      <w:r>
        <w:rPr>
          <w:rFonts w:hint="eastAsia" w:ascii="宋体" w:hAnsi="Times New Roman" w:cs="Times New Roman"/>
          <w:kern w:val="0"/>
          <w:szCs w:val="20"/>
        </w:rPr>
        <w:t>18）提出并归口。</w:t>
      </w:r>
    </w:p>
    <w:p w14:paraId="4D5547B9">
      <w:pPr>
        <w:widowControl/>
        <w:autoSpaceDE w:val="0"/>
        <w:autoSpaceDN w:val="0"/>
        <w:ind w:firstLine="420" w:firstLineChars="200"/>
        <w:jc w:val="left"/>
        <w:rPr>
          <w:rFonts w:ascii="宋体" w:hAnsi="Times New Roman" w:cs="Times New Roman"/>
          <w:kern w:val="0"/>
          <w:szCs w:val="20"/>
        </w:rPr>
      </w:pPr>
      <w:r>
        <w:rPr>
          <w:rFonts w:ascii="宋体" w:hAnsi="Times New Roman" w:cs="Times New Roman"/>
          <w:kern w:val="0"/>
          <w:szCs w:val="20"/>
        </w:rPr>
        <w:t>本文件起草单位：中国海关科学技术研究中心、国家市场监督管理总局发展研究中心、深圳海关工业品检测技术中心、国家珠宝玉石质量监督检验中心实验室有限公司、珠宝玉石首饰国检集团北京教育科技有限公司、北京服装学院、对外经济贸易大学、北京中认检测技术服务有限公司、中安防伪技术有限公司</w:t>
      </w:r>
      <w:r>
        <w:rPr>
          <w:rFonts w:hint="eastAsia" w:ascii="宋体" w:hAnsi="Times New Roman" w:cs="Times New Roman"/>
          <w:kern w:val="0"/>
          <w:szCs w:val="20"/>
        </w:rPr>
        <w:t>、</w:t>
      </w:r>
      <w:r>
        <w:rPr>
          <w:rFonts w:ascii="宋体" w:hAnsi="Times New Roman" w:cs="Times New Roman"/>
          <w:kern w:val="0"/>
          <w:szCs w:val="20"/>
        </w:rPr>
        <w:t>天纺标质检技术服务（天津）有限公司</w:t>
      </w:r>
      <w:r>
        <w:rPr>
          <w:rFonts w:hint="eastAsia" w:ascii="宋体" w:hAnsi="Times New Roman" w:cs="Times New Roman"/>
          <w:kern w:val="0"/>
          <w:szCs w:val="20"/>
        </w:rPr>
        <w:t>、</w:t>
      </w:r>
      <w:r>
        <w:rPr>
          <w:rFonts w:ascii="宋体" w:hAnsi="Times New Roman" w:cs="Times New Roman"/>
          <w:kern w:val="0"/>
          <w:szCs w:val="20"/>
        </w:rPr>
        <w:t>上海得物信息集团有限公司</w:t>
      </w:r>
      <w:r>
        <w:rPr>
          <w:rFonts w:hint="eastAsia" w:ascii="宋体" w:hAnsi="Times New Roman" w:cs="Times New Roman"/>
          <w:kern w:val="0"/>
          <w:szCs w:val="20"/>
        </w:rPr>
        <w:t>、</w:t>
      </w:r>
      <w:r>
        <w:rPr>
          <w:rFonts w:ascii="宋体" w:hAnsi="Times New Roman" w:cs="Times New Roman"/>
          <w:kern w:val="0"/>
          <w:szCs w:val="20"/>
        </w:rPr>
        <w:t>致美生活（北京）科技有限公司</w:t>
      </w:r>
      <w:r>
        <w:rPr>
          <w:rFonts w:hint="eastAsia" w:ascii="宋体" w:hAnsi="Times New Roman" w:cs="Times New Roman"/>
          <w:kern w:val="0"/>
          <w:szCs w:val="20"/>
        </w:rPr>
        <w:t>、</w:t>
      </w:r>
      <w:r>
        <w:rPr>
          <w:rFonts w:ascii="宋体" w:hAnsi="Times New Roman" w:cs="Times New Roman"/>
          <w:kern w:val="0"/>
          <w:szCs w:val="20"/>
        </w:rPr>
        <w:t>杭州跨客技术服务有限公司</w:t>
      </w:r>
      <w:r>
        <w:rPr>
          <w:rFonts w:hint="eastAsia" w:ascii="宋体" w:hAnsi="Times New Roman" w:cs="Times New Roman"/>
          <w:kern w:val="0"/>
          <w:szCs w:val="20"/>
        </w:rPr>
        <w:t>、</w:t>
      </w:r>
      <w:r>
        <w:rPr>
          <w:rFonts w:ascii="宋体" w:hAnsi="Times New Roman" w:cs="Times New Roman"/>
          <w:kern w:val="0"/>
          <w:szCs w:val="20"/>
        </w:rPr>
        <w:t>中奢鉴（北京）科技发展有限责任公司</w:t>
      </w:r>
      <w:r>
        <w:rPr>
          <w:rFonts w:hint="eastAsia" w:ascii="宋体" w:hAnsi="Times New Roman" w:cs="Times New Roman"/>
          <w:kern w:val="0"/>
          <w:szCs w:val="20"/>
        </w:rPr>
        <w:t>、</w:t>
      </w:r>
      <w:r>
        <w:rPr>
          <w:rFonts w:ascii="宋体" w:hAnsi="Times New Roman" w:cs="Times New Roman"/>
          <w:kern w:val="0"/>
          <w:szCs w:val="20"/>
        </w:rPr>
        <w:t>浙江小安检测有限公司</w:t>
      </w:r>
      <w:r>
        <w:rPr>
          <w:rFonts w:hint="eastAsia" w:ascii="宋体" w:hAnsi="Times New Roman" w:cs="Times New Roman"/>
          <w:kern w:val="0"/>
          <w:szCs w:val="20"/>
        </w:rPr>
        <w:t>、</w:t>
      </w:r>
      <w:r>
        <w:rPr>
          <w:rFonts w:ascii="宋体" w:hAnsi="Times New Roman" w:cs="Times New Roman"/>
          <w:kern w:val="0"/>
          <w:szCs w:val="20"/>
        </w:rPr>
        <w:t>中古检测认证有限公司</w:t>
      </w:r>
      <w:r>
        <w:rPr>
          <w:rFonts w:hint="eastAsia" w:ascii="宋体" w:hAnsi="Times New Roman" w:cs="Times New Roman"/>
          <w:kern w:val="0"/>
          <w:szCs w:val="20"/>
        </w:rPr>
        <w:t>、</w:t>
      </w:r>
      <w:r>
        <w:rPr>
          <w:rFonts w:ascii="宋体" w:hAnsi="Times New Roman" w:cs="Times New Roman"/>
          <w:kern w:val="0"/>
          <w:szCs w:val="20"/>
        </w:rPr>
        <w:t>安徽历镜质量技术服务有限公司</w:t>
      </w:r>
      <w:r>
        <w:rPr>
          <w:rFonts w:hint="eastAsia" w:ascii="宋体" w:hAnsi="Times New Roman" w:cs="Times New Roman"/>
          <w:kern w:val="0"/>
          <w:szCs w:val="20"/>
        </w:rPr>
        <w:t>、</w:t>
      </w:r>
      <w:r>
        <w:rPr>
          <w:rFonts w:ascii="宋体" w:hAnsi="Times New Roman" w:cs="Times New Roman"/>
          <w:kern w:val="0"/>
          <w:szCs w:val="20"/>
        </w:rPr>
        <w:t>天津原鉴检验检测有限公司</w:t>
      </w:r>
      <w:r>
        <w:rPr>
          <w:rFonts w:hint="eastAsia" w:ascii="宋体" w:hAnsi="Times New Roman" w:cs="Times New Roman"/>
          <w:kern w:val="0"/>
          <w:szCs w:val="20"/>
        </w:rPr>
        <w:t>、</w:t>
      </w:r>
      <w:r>
        <w:rPr>
          <w:rFonts w:ascii="宋体" w:hAnsi="Times New Roman" w:cs="Times New Roman"/>
          <w:kern w:val="0"/>
          <w:szCs w:val="20"/>
        </w:rPr>
        <w:t>南京天鼠科技有限公司</w:t>
      </w:r>
      <w:r>
        <w:rPr>
          <w:rFonts w:hint="eastAsia" w:ascii="宋体" w:hAnsi="Times New Roman" w:cs="Times New Roman"/>
          <w:kern w:val="0"/>
          <w:szCs w:val="20"/>
        </w:rPr>
        <w:t>、</w:t>
      </w:r>
      <w:r>
        <w:rPr>
          <w:rFonts w:ascii="宋体" w:hAnsi="Times New Roman" w:cs="Times New Roman"/>
          <w:kern w:val="0"/>
          <w:szCs w:val="20"/>
        </w:rPr>
        <w:t>国鉴检验检测（杭州）有限公司</w:t>
      </w:r>
      <w:r>
        <w:rPr>
          <w:rFonts w:hint="eastAsia" w:ascii="宋体" w:hAnsi="Times New Roman" w:cs="Times New Roman"/>
          <w:kern w:val="0"/>
          <w:szCs w:val="20"/>
        </w:rPr>
        <w:t>、</w:t>
      </w:r>
      <w:r>
        <w:rPr>
          <w:rFonts w:ascii="宋体" w:hAnsi="Times New Roman" w:cs="Times New Roman"/>
          <w:kern w:val="0"/>
          <w:szCs w:val="20"/>
        </w:rPr>
        <w:t>上海众饰鉴检测有限公司</w:t>
      </w:r>
      <w:r>
        <w:rPr>
          <w:rFonts w:hint="eastAsia" w:ascii="宋体" w:hAnsi="Times New Roman" w:cs="Times New Roman"/>
          <w:kern w:val="0"/>
          <w:szCs w:val="20"/>
        </w:rPr>
        <w:t>、</w:t>
      </w:r>
      <w:r>
        <w:rPr>
          <w:rFonts w:ascii="宋体" w:hAnsi="Times New Roman" w:cs="Times New Roman"/>
          <w:kern w:val="0"/>
          <w:szCs w:val="20"/>
        </w:rPr>
        <w:t>中全鉴检验检测认证（哈尔滨）有限公司</w:t>
      </w:r>
      <w:r>
        <w:rPr>
          <w:rFonts w:hint="eastAsia" w:ascii="宋体" w:hAnsi="Times New Roman" w:cs="Times New Roman"/>
          <w:kern w:val="0"/>
          <w:szCs w:val="20"/>
        </w:rPr>
        <w:t>、</w:t>
      </w:r>
      <w:r>
        <w:rPr>
          <w:rFonts w:ascii="宋体" w:hAnsi="Times New Roman" w:cs="Times New Roman"/>
          <w:kern w:val="0"/>
          <w:szCs w:val="20"/>
        </w:rPr>
        <w:t>中正云检测认证（上海）有限公司</w:t>
      </w:r>
      <w:r>
        <w:rPr>
          <w:rFonts w:hint="eastAsia" w:ascii="宋体" w:hAnsi="Times New Roman" w:cs="Times New Roman"/>
          <w:kern w:val="0"/>
          <w:szCs w:val="20"/>
        </w:rPr>
        <w:t>、</w:t>
      </w:r>
      <w:r>
        <w:rPr>
          <w:rFonts w:ascii="宋体" w:hAnsi="Times New Roman" w:cs="Times New Roman"/>
          <w:kern w:val="0"/>
          <w:szCs w:val="20"/>
        </w:rPr>
        <w:t>中贸(深圳)检验认证有限公司</w:t>
      </w:r>
      <w:r>
        <w:rPr>
          <w:rFonts w:hint="eastAsia" w:ascii="宋体" w:hAnsi="Times New Roman" w:cs="Times New Roman"/>
          <w:kern w:val="0"/>
          <w:szCs w:val="20"/>
        </w:rPr>
        <w:t>。</w:t>
      </w:r>
    </w:p>
    <w:p w14:paraId="5BAD5AEF">
      <w:pPr>
        <w:widowControl/>
        <w:autoSpaceDE w:val="0"/>
        <w:autoSpaceDN w:val="0"/>
        <w:ind w:firstLine="420" w:firstLineChars="200"/>
        <w:jc w:val="left"/>
        <w:rPr>
          <w:rFonts w:ascii="宋体" w:hAnsi="Times New Roman" w:cs="Times New Roman"/>
          <w:kern w:val="0"/>
          <w:szCs w:val="20"/>
        </w:rPr>
      </w:pPr>
      <w:r>
        <w:rPr>
          <w:rFonts w:ascii="宋体" w:hAnsi="Times New Roman" w:cs="Times New Roman"/>
          <w:kern w:val="0"/>
          <w:szCs w:val="20"/>
        </w:rPr>
        <w:t>本文件主要起草人：王琳譞、李桐、张琛、张伟娟、张梦霞、</w:t>
      </w:r>
      <w:r>
        <w:rPr>
          <w:rFonts w:hint="eastAsia" w:ascii="宋体" w:hAnsi="Times New Roman" w:cs="Times New Roman"/>
          <w:kern w:val="0"/>
          <w:szCs w:val="20"/>
        </w:rPr>
        <w:t>沈崇辉、</w:t>
      </w:r>
      <w:r>
        <w:rPr>
          <w:rFonts w:ascii="宋体" w:hAnsi="Times New Roman" w:cs="Times New Roman"/>
          <w:kern w:val="0"/>
          <w:szCs w:val="20"/>
        </w:rPr>
        <w:t>冯晓燕、张健、陈坚、</w:t>
      </w:r>
      <w:r>
        <w:rPr>
          <w:rFonts w:hint="eastAsia" w:ascii="宋体" w:hAnsi="Times New Roman" w:cs="Times New Roman"/>
          <w:kern w:val="0"/>
          <w:szCs w:val="20"/>
        </w:rPr>
        <w:t>柴萌、</w:t>
      </w:r>
      <w:r>
        <w:rPr>
          <w:rFonts w:ascii="宋体" w:hAnsi="Times New Roman" w:cs="Times New Roman"/>
          <w:kern w:val="0"/>
          <w:szCs w:val="20"/>
        </w:rPr>
        <w:t>刘扬、王淇、李鹏、李梦苏、陈梦缘、陈伟、周萌、李昱霏、李萌</w:t>
      </w:r>
      <w:r>
        <w:rPr>
          <w:rFonts w:hint="eastAsia" w:ascii="宋体" w:hAnsi="Times New Roman" w:cs="Times New Roman"/>
          <w:kern w:val="0"/>
          <w:szCs w:val="20"/>
        </w:rPr>
        <w:t>、</w:t>
      </w:r>
      <w:r>
        <w:rPr>
          <w:rFonts w:ascii="宋体" w:hAnsi="Times New Roman" w:cs="Times New Roman"/>
          <w:kern w:val="0"/>
          <w:szCs w:val="20"/>
        </w:rPr>
        <w:t>张小鲁</w:t>
      </w:r>
      <w:r>
        <w:rPr>
          <w:rFonts w:hint="eastAsia" w:ascii="宋体" w:hAnsi="Times New Roman" w:cs="Times New Roman"/>
          <w:kern w:val="0"/>
          <w:szCs w:val="20"/>
        </w:rPr>
        <w:t>、</w:t>
      </w:r>
      <w:r>
        <w:rPr>
          <w:rFonts w:ascii="宋体" w:hAnsi="Times New Roman" w:cs="Times New Roman"/>
          <w:kern w:val="0"/>
          <w:szCs w:val="20"/>
        </w:rPr>
        <w:t>李龙</w:t>
      </w:r>
      <w:r>
        <w:rPr>
          <w:rFonts w:hint="eastAsia" w:ascii="宋体" w:hAnsi="Times New Roman" w:cs="Times New Roman"/>
          <w:kern w:val="0"/>
          <w:szCs w:val="20"/>
        </w:rPr>
        <w:t>、</w:t>
      </w:r>
      <w:r>
        <w:rPr>
          <w:rFonts w:ascii="宋体" w:hAnsi="Times New Roman" w:cs="Times New Roman"/>
          <w:kern w:val="0"/>
          <w:szCs w:val="20"/>
        </w:rPr>
        <w:t>周全盛</w:t>
      </w:r>
      <w:r>
        <w:rPr>
          <w:rFonts w:hint="eastAsia" w:ascii="宋体" w:hAnsi="Times New Roman" w:cs="Times New Roman"/>
          <w:kern w:val="0"/>
          <w:szCs w:val="20"/>
        </w:rPr>
        <w:t>、</w:t>
      </w:r>
      <w:r>
        <w:rPr>
          <w:rFonts w:ascii="宋体" w:hAnsi="Times New Roman" w:cs="Times New Roman"/>
          <w:kern w:val="0"/>
          <w:szCs w:val="20"/>
        </w:rPr>
        <w:t>赖祖亮、王天伟、沈瀚林</w:t>
      </w:r>
      <w:r>
        <w:rPr>
          <w:rFonts w:hint="eastAsia" w:ascii="宋体" w:hAnsi="Times New Roman" w:cs="Times New Roman"/>
          <w:kern w:val="0"/>
          <w:szCs w:val="20"/>
        </w:rPr>
        <w:t>、</w:t>
      </w:r>
      <w:r>
        <w:rPr>
          <w:rFonts w:ascii="宋体" w:hAnsi="Times New Roman" w:cs="Times New Roman"/>
          <w:kern w:val="0"/>
          <w:szCs w:val="20"/>
        </w:rPr>
        <w:t>胡巍巍、梁辰</w:t>
      </w:r>
      <w:r>
        <w:rPr>
          <w:rFonts w:hint="eastAsia" w:ascii="宋体" w:hAnsi="Times New Roman" w:cs="Times New Roman"/>
          <w:kern w:val="0"/>
          <w:szCs w:val="20"/>
        </w:rPr>
        <w:t>、</w:t>
      </w:r>
      <w:r>
        <w:rPr>
          <w:rFonts w:ascii="宋体" w:hAnsi="Times New Roman" w:cs="Times New Roman"/>
          <w:kern w:val="0"/>
          <w:szCs w:val="20"/>
        </w:rPr>
        <w:t>雷雨春</w:t>
      </w:r>
      <w:r>
        <w:rPr>
          <w:rFonts w:hint="eastAsia" w:ascii="宋体" w:hAnsi="Times New Roman" w:cs="Times New Roman"/>
          <w:kern w:val="0"/>
          <w:szCs w:val="20"/>
        </w:rPr>
        <w:t>、</w:t>
      </w:r>
      <w:r>
        <w:rPr>
          <w:rFonts w:ascii="宋体" w:hAnsi="Times New Roman" w:cs="Times New Roman"/>
          <w:kern w:val="0"/>
          <w:szCs w:val="20"/>
        </w:rPr>
        <w:t>王虎</w:t>
      </w:r>
      <w:r>
        <w:rPr>
          <w:rFonts w:hint="eastAsia" w:ascii="宋体" w:hAnsi="Times New Roman" w:cs="Times New Roman"/>
          <w:kern w:val="0"/>
          <w:szCs w:val="20"/>
        </w:rPr>
        <w:t>、</w:t>
      </w:r>
      <w:r>
        <w:rPr>
          <w:rFonts w:ascii="宋体" w:hAnsi="Times New Roman" w:cs="Times New Roman"/>
          <w:kern w:val="0"/>
          <w:szCs w:val="20"/>
        </w:rPr>
        <w:t>樊海英</w:t>
      </w:r>
      <w:r>
        <w:rPr>
          <w:rFonts w:hint="eastAsia" w:ascii="宋体" w:hAnsi="Times New Roman" w:cs="Times New Roman"/>
          <w:kern w:val="0"/>
          <w:szCs w:val="20"/>
        </w:rPr>
        <w:t>、</w:t>
      </w:r>
      <w:r>
        <w:rPr>
          <w:rFonts w:ascii="宋体" w:hAnsi="Times New Roman" w:cs="Times New Roman"/>
          <w:kern w:val="0"/>
          <w:szCs w:val="20"/>
        </w:rPr>
        <w:t>方源</w:t>
      </w:r>
      <w:r>
        <w:rPr>
          <w:rFonts w:hint="eastAsia" w:ascii="宋体" w:hAnsi="Times New Roman" w:cs="Times New Roman"/>
          <w:kern w:val="0"/>
          <w:szCs w:val="20"/>
        </w:rPr>
        <w:t>、</w:t>
      </w:r>
      <w:r>
        <w:rPr>
          <w:rFonts w:ascii="宋体" w:hAnsi="Times New Roman" w:cs="Times New Roman"/>
          <w:kern w:val="0"/>
          <w:szCs w:val="20"/>
        </w:rPr>
        <w:t>李强</w:t>
      </w:r>
      <w:r>
        <w:rPr>
          <w:rFonts w:hint="eastAsia" w:ascii="宋体" w:hAnsi="Times New Roman" w:cs="Times New Roman"/>
          <w:kern w:val="0"/>
          <w:szCs w:val="20"/>
        </w:rPr>
        <w:t>、</w:t>
      </w:r>
      <w:r>
        <w:rPr>
          <w:rFonts w:ascii="宋体" w:hAnsi="Times New Roman" w:cs="Times New Roman"/>
          <w:kern w:val="0"/>
          <w:szCs w:val="20"/>
        </w:rPr>
        <w:t>吴健</w:t>
      </w:r>
      <w:r>
        <w:rPr>
          <w:rFonts w:hint="eastAsia" w:ascii="宋体" w:hAnsi="Times New Roman" w:cs="Times New Roman"/>
          <w:kern w:val="0"/>
          <w:szCs w:val="20"/>
        </w:rPr>
        <w:t>、</w:t>
      </w:r>
      <w:r>
        <w:rPr>
          <w:rFonts w:ascii="宋体" w:hAnsi="Times New Roman" w:cs="Times New Roman"/>
          <w:kern w:val="0"/>
          <w:szCs w:val="20"/>
        </w:rPr>
        <w:t>魏林</w:t>
      </w:r>
      <w:r>
        <w:rPr>
          <w:rFonts w:hint="eastAsia" w:ascii="宋体" w:hAnsi="Times New Roman" w:cs="Times New Roman"/>
          <w:kern w:val="0"/>
          <w:szCs w:val="20"/>
        </w:rPr>
        <w:t>、</w:t>
      </w:r>
      <w:r>
        <w:rPr>
          <w:rFonts w:ascii="宋体" w:hAnsi="Times New Roman" w:cs="Times New Roman"/>
          <w:kern w:val="0"/>
          <w:szCs w:val="20"/>
        </w:rPr>
        <w:t>王彤</w:t>
      </w:r>
      <w:r>
        <w:rPr>
          <w:rFonts w:hint="eastAsia" w:ascii="宋体" w:hAnsi="Times New Roman" w:cs="Times New Roman"/>
          <w:kern w:val="0"/>
          <w:szCs w:val="20"/>
        </w:rPr>
        <w:t>、</w:t>
      </w:r>
      <w:r>
        <w:rPr>
          <w:rFonts w:ascii="宋体" w:hAnsi="Times New Roman" w:cs="Times New Roman"/>
          <w:kern w:val="0"/>
          <w:szCs w:val="20"/>
        </w:rPr>
        <w:t>施舒</w:t>
      </w:r>
      <w:r>
        <w:rPr>
          <w:rFonts w:hint="eastAsia" w:ascii="宋体" w:hAnsi="Times New Roman" w:cs="Times New Roman"/>
          <w:kern w:val="0"/>
          <w:szCs w:val="20"/>
        </w:rPr>
        <w:t>、</w:t>
      </w:r>
      <w:r>
        <w:rPr>
          <w:rFonts w:ascii="宋体" w:hAnsi="Times New Roman" w:cs="Times New Roman"/>
          <w:kern w:val="0"/>
          <w:szCs w:val="20"/>
        </w:rPr>
        <w:t>李洋宇</w:t>
      </w:r>
      <w:r>
        <w:rPr>
          <w:rFonts w:hint="eastAsia" w:ascii="宋体" w:hAnsi="Times New Roman" w:cs="Times New Roman"/>
          <w:kern w:val="0"/>
          <w:szCs w:val="20"/>
        </w:rPr>
        <w:t>。</w:t>
      </w:r>
    </w:p>
    <w:p w14:paraId="24867970">
      <w:pPr>
        <w:widowControl/>
        <w:autoSpaceDE w:val="0"/>
        <w:autoSpaceDN w:val="0"/>
        <w:ind w:firstLine="420" w:firstLineChars="200"/>
        <w:jc w:val="left"/>
        <w:rPr>
          <w:rFonts w:ascii="宋体" w:hAnsi="Times New Roman" w:cs="Times New Roman"/>
          <w:kern w:val="0"/>
          <w:szCs w:val="20"/>
        </w:rPr>
      </w:pPr>
      <w:r>
        <w:rPr>
          <w:rFonts w:hint="eastAsia" w:ascii="宋体" w:hAnsi="Times New Roman" w:cs="Times New Roman"/>
          <w:kern w:val="0"/>
          <w:szCs w:val="20"/>
        </w:rPr>
        <w:t>本文件知识产权归中国出入境检验检疫协会所有。任何单位或个人未经许可，不得以营利为目的，印制、出版、翻译、转发或复制全文或部分文字。</w:t>
      </w:r>
    </w:p>
    <w:p w14:paraId="55ED85C4">
      <w:pPr>
        <w:widowControl/>
        <w:autoSpaceDE w:val="0"/>
        <w:autoSpaceDN w:val="0"/>
        <w:ind w:firstLine="420" w:firstLineChars="200"/>
        <w:jc w:val="left"/>
        <w:rPr>
          <w:rFonts w:ascii="宋体" w:hAnsi="Times New Roman" w:cs="Times New Roman"/>
          <w:kern w:val="0"/>
          <w:szCs w:val="20"/>
        </w:rPr>
      </w:pPr>
    </w:p>
    <w:p w14:paraId="1431A65E">
      <w:pPr>
        <w:widowControl/>
        <w:numPr>
          <w:ilvl w:val="0"/>
          <w:numId w:val="1"/>
        </w:numPr>
        <w:tabs>
          <w:tab w:val="clear" w:pos="1646"/>
        </w:tabs>
        <w:autoSpaceDE w:val="0"/>
        <w:autoSpaceDN w:val="0"/>
        <w:ind w:left="0" w:firstLine="420" w:firstLineChars="200"/>
        <w:jc w:val="left"/>
        <w:rPr>
          <w:rFonts w:ascii="宋体" w:hAnsi="Times New Roman" w:cs="Times New Roman"/>
          <w:kern w:val="0"/>
          <w:szCs w:val="20"/>
        </w:rPr>
        <w:sectPr>
          <w:pgSz w:w="11906" w:h="16838"/>
          <w:pgMar w:top="2410" w:right="1134" w:bottom="1134" w:left="1134" w:header="1418" w:footer="1134" w:gutter="284"/>
          <w:pgNumType w:fmt="upperRoman"/>
          <w:cols w:space="425" w:num="1"/>
          <w:formProt w:val="0"/>
          <w:docGrid w:linePitch="312" w:charSpace="0"/>
        </w:sectPr>
      </w:pPr>
    </w:p>
    <w:bookmarkEnd w:id="2"/>
    <w:p w14:paraId="4FC828C8">
      <w:pPr>
        <w:widowControl/>
        <w:spacing w:line="20" w:lineRule="exact"/>
        <w:jc w:val="center"/>
        <w:rPr>
          <w:rFonts w:ascii="黑体" w:hAnsi="黑体" w:eastAsia="黑体" w:cs="宋体"/>
          <w:kern w:val="0"/>
          <w:sz w:val="32"/>
          <w:szCs w:val="32"/>
        </w:rPr>
      </w:pPr>
      <w:bookmarkStart w:id="3" w:name="BookMark4"/>
    </w:p>
    <w:p w14:paraId="4CD1692E">
      <w:pPr>
        <w:widowControl/>
        <w:spacing w:line="20" w:lineRule="exact"/>
        <w:jc w:val="center"/>
        <w:rPr>
          <w:rFonts w:ascii="黑体" w:hAnsi="黑体" w:eastAsia="黑体" w:cs="宋体"/>
          <w:kern w:val="0"/>
          <w:sz w:val="32"/>
          <w:szCs w:val="32"/>
        </w:rPr>
      </w:pPr>
    </w:p>
    <w:sdt>
      <w:sdtPr>
        <w:rPr>
          <w:rFonts w:ascii="黑体" w:hAnsi="黑体" w:eastAsia="黑体" w:cs="Times New Roman"/>
          <w:sz w:val="32"/>
          <w:szCs w:val="32"/>
        </w:rPr>
        <w:tag w:val="NEW_STAND_NAME"/>
        <w:id w:val="595910757"/>
        <w:placeholder>
          <w:docPart w:val="0D3AD5C29E2ACF46AE1B191335D8C1E5"/>
        </w:placeholder>
      </w:sdtPr>
      <w:sdtEndPr>
        <w:rPr>
          <w:rFonts w:ascii="黑体" w:hAnsi="黑体" w:eastAsia="黑体" w:cs="Times New Roman"/>
          <w:sz w:val="32"/>
          <w:szCs w:val="32"/>
        </w:rPr>
      </w:sdtEndPr>
      <w:sdtContent>
        <w:p w14:paraId="18BCF277">
          <w:pPr>
            <w:widowControl/>
            <w:spacing w:before="240" w:beforeLines="100" w:after="528" w:afterLines="220" w:line="400" w:lineRule="exact"/>
            <w:jc w:val="center"/>
            <w:rPr>
              <w:rFonts w:ascii="黑体" w:hAnsi="黑体" w:eastAsia="黑体" w:cs="Times New Roman"/>
              <w:sz w:val="32"/>
              <w:szCs w:val="32"/>
            </w:rPr>
          </w:pPr>
          <w:bookmarkStart w:id="4" w:name="NEW_STAND_NAME"/>
          <w:r>
            <w:rPr>
              <w:rFonts w:hint="eastAsia" w:ascii="黑体" w:hAnsi="黑体" w:eastAsia="黑体" w:cs="Times New Roman"/>
              <w:sz w:val="32"/>
              <w:szCs w:val="32"/>
            </w:rPr>
            <w:t>品牌饰品鉴定通用技术规范</w:t>
          </w:r>
        </w:p>
      </w:sdtContent>
    </w:sdt>
    <w:bookmarkEnd w:id="4"/>
    <w:p w14:paraId="23AE7029">
      <w:pPr>
        <w:pStyle w:val="107"/>
        <w:numPr>
          <w:ilvl w:val="0"/>
          <w:numId w:val="35"/>
        </w:numPr>
        <w:spacing w:before="240" w:after="240"/>
        <w:ind w:left="0" w:firstLine="0"/>
      </w:pPr>
      <w:bookmarkStart w:id="5" w:name="_Toc24884211"/>
      <w:bookmarkStart w:id="6" w:name="_Toc26986530"/>
      <w:bookmarkStart w:id="7" w:name="_Toc26718930"/>
      <w:bookmarkStart w:id="8" w:name="_Toc26648465"/>
      <w:bookmarkStart w:id="9" w:name="_Toc24884218"/>
      <w:bookmarkStart w:id="10" w:name="_Toc17233333"/>
      <w:bookmarkStart w:id="11" w:name="_Toc192946495"/>
      <w:bookmarkStart w:id="12" w:name="_Toc17233325"/>
      <w:bookmarkStart w:id="13" w:name="_Toc26986771"/>
      <w:r>
        <w:rPr>
          <w:rFonts w:hint="eastAsia"/>
        </w:rPr>
        <w:t>范围</w:t>
      </w:r>
      <w:bookmarkEnd w:id="5"/>
      <w:bookmarkEnd w:id="6"/>
      <w:bookmarkEnd w:id="7"/>
      <w:bookmarkEnd w:id="8"/>
      <w:bookmarkEnd w:id="9"/>
      <w:bookmarkEnd w:id="10"/>
      <w:bookmarkEnd w:id="11"/>
      <w:bookmarkEnd w:id="12"/>
      <w:bookmarkEnd w:id="13"/>
    </w:p>
    <w:p w14:paraId="76119FD2">
      <w:pPr>
        <w:widowControl/>
        <w:autoSpaceDE w:val="0"/>
        <w:autoSpaceDN w:val="0"/>
        <w:ind w:firstLine="420" w:firstLineChars="200"/>
        <w:jc w:val="left"/>
        <w:rPr>
          <w:rFonts w:ascii="宋体" w:hAnsi="Times New Roman" w:cs="Times New Roman"/>
          <w:kern w:val="0"/>
          <w:szCs w:val="20"/>
        </w:rPr>
      </w:pPr>
      <w:bookmarkStart w:id="14" w:name="_Toc26648466"/>
      <w:bookmarkStart w:id="15" w:name="_Toc24884219"/>
      <w:bookmarkStart w:id="16" w:name="_Toc17233334"/>
      <w:bookmarkStart w:id="17" w:name="_Toc24884212"/>
      <w:bookmarkStart w:id="18" w:name="_Toc17233326"/>
      <w:r>
        <w:rPr>
          <w:rFonts w:hint="eastAsia" w:ascii="宋体" w:hAnsi="Times New Roman" w:cs="Times New Roman"/>
          <w:kern w:val="0"/>
          <w:szCs w:val="20"/>
        </w:rPr>
        <w:t>本文件规定了品牌饰品鉴定的基本要求，描述了鉴定程序，界定了品牌饰品相关术语。</w:t>
      </w:r>
    </w:p>
    <w:p w14:paraId="1D2D2DB5">
      <w:pPr>
        <w:widowControl/>
        <w:autoSpaceDE w:val="0"/>
        <w:autoSpaceDN w:val="0"/>
        <w:ind w:firstLine="420" w:firstLineChars="200"/>
        <w:jc w:val="left"/>
        <w:rPr>
          <w:rFonts w:ascii="宋体" w:hAnsi="Times New Roman" w:cs="Times New Roman"/>
          <w:kern w:val="0"/>
          <w:szCs w:val="20"/>
        </w:rPr>
      </w:pPr>
      <w:r>
        <w:rPr>
          <w:rFonts w:hint="eastAsia" w:ascii="宋体" w:hAnsi="Times New Roman" w:cs="Times New Roman"/>
          <w:kern w:val="0"/>
          <w:szCs w:val="20"/>
        </w:rPr>
        <w:t>本文件适用于司法、海关、保险、资产评估、电商平台、线下交易、跨境电子商务等品牌饰品真伪判别。也</w:t>
      </w:r>
      <w:r>
        <w:rPr>
          <w:rFonts w:ascii="宋体" w:hAnsi="Times New Roman" w:cs="Times New Roman"/>
          <w:kern w:val="0"/>
          <w:szCs w:val="20"/>
        </w:rPr>
        <w:t>适用于珠宝首饰的镶嵌工艺、金属材质等方面的鉴定</w:t>
      </w:r>
      <w:r>
        <w:rPr>
          <w:rFonts w:hint="eastAsia" w:ascii="宋体" w:hAnsi="Times New Roman" w:cs="Times New Roman"/>
          <w:kern w:val="0"/>
          <w:szCs w:val="20"/>
        </w:rPr>
        <w:t>。本文件不适用于装饰性或功能性名表鉴定，也不适用于玉石类首饰的鉴定。</w:t>
      </w:r>
    </w:p>
    <w:p w14:paraId="693F3A50">
      <w:pPr>
        <w:pStyle w:val="107"/>
        <w:numPr>
          <w:ilvl w:val="0"/>
          <w:numId w:val="35"/>
        </w:numPr>
        <w:spacing w:before="240" w:after="240"/>
        <w:ind w:left="0" w:firstLine="0"/>
      </w:pPr>
      <w:bookmarkStart w:id="19" w:name="_Toc192946496"/>
      <w:bookmarkStart w:id="20" w:name="_Toc26718931"/>
      <w:bookmarkStart w:id="21" w:name="_Toc26986772"/>
      <w:bookmarkStart w:id="22" w:name="_Toc26986531"/>
      <w:r>
        <w:rPr>
          <w:rFonts w:hint="eastAsia"/>
        </w:rPr>
        <w:t>规范性引用文件</w:t>
      </w:r>
      <w:bookmarkEnd w:id="14"/>
      <w:bookmarkEnd w:id="15"/>
      <w:bookmarkEnd w:id="16"/>
      <w:bookmarkEnd w:id="17"/>
      <w:bookmarkEnd w:id="18"/>
      <w:bookmarkEnd w:id="19"/>
      <w:bookmarkEnd w:id="20"/>
      <w:bookmarkEnd w:id="21"/>
      <w:bookmarkEnd w:id="22"/>
    </w:p>
    <w:sdt>
      <w:sdtPr>
        <w:rPr>
          <w:rFonts w:hint="eastAsia" w:ascii="宋体" w:hAnsi="Times New Roman" w:cs="Times New Roman"/>
          <w:kern w:val="0"/>
          <w:szCs w:val="20"/>
        </w:rPr>
        <w:id w:val="715848253"/>
        <w:placeholder>
          <w:docPart w:val="83588E2E76E8DD479E7EB4F4317D70B0"/>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ascii="宋体" w:hAnsi="Times New Roman" w:cs="Times New Roman"/>
          <w:kern w:val="0"/>
          <w:szCs w:val="20"/>
        </w:rPr>
      </w:sdtEndPr>
      <w:sdtContent>
        <w:p w14:paraId="39AD0CCB">
          <w:pPr>
            <w:widowControl/>
            <w:autoSpaceDE w:val="0"/>
            <w:autoSpaceDN w:val="0"/>
            <w:ind w:firstLine="420" w:firstLineChars="200"/>
            <w:jc w:val="left"/>
            <w:rPr>
              <w:rFonts w:ascii="宋体" w:hAnsi="Times New Roman" w:cs="Times New Roman"/>
              <w:kern w:val="0"/>
              <w:szCs w:val="20"/>
            </w:rPr>
          </w:pPr>
          <w:r>
            <w:rPr>
              <w:rFonts w:hint="eastAsia" w:ascii="宋体" w:hAnsi="Times New Roman" w:cs="Times New Roman"/>
              <w:kern w:val="0"/>
              <w:szCs w:val="20"/>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3ED099A5">
      <w:pPr>
        <w:widowControl/>
        <w:autoSpaceDE w:val="0"/>
        <w:autoSpaceDN w:val="0"/>
        <w:ind w:left="420"/>
        <w:jc w:val="left"/>
        <w:rPr>
          <w:rFonts w:ascii="宋体" w:hAnsi="Times New Roman" w:cs="Times New Roman"/>
          <w:kern w:val="0"/>
          <w:szCs w:val="20"/>
        </w:rPr>
      </w:pPr>
      <w:r>
        <w:rPr>
          <w:rFonts w:hint="eastAsia" w:ascii="宋体" w:hAnsi="Times New Roman" w:cs="Times New Roman"/>
          <w:kern w:val="0"/>
          <w:szCs w:val="20"/>
        </w:rPr>
        <w:t>G</w:t>
      </w:r>
      <w:r>
        <w:rPr>
          <w:rFonts w:ascii="宋体" w:hAnsi="Times New Roman" w:cs="Times New Roman"/>
          <w:kern w:val="0"/>
          <w:szCs w:val="20"/>
        </w:rPr>
        <w:t>B 11887 首饰 贵金属纯度的规定及命名方法</w:t>
      </w:r>
    </w:p>
    <w:p w14:paraId="63A316DF">
      <w:pPr>
        <w:widowControl/>
        <w:autoSpaceDE w:val="0"/>
        <w:autoSpaceDN w:val="0"/>
        <w:ind w:left="420"/>
        <w:jc w:val="left"/>
        <w:rPr>
          <w:rFonts w:ascii="宋体" w:hAnsi="Times New Roman" w:cs="Times New Roman"/>
          <w:kern w:val="0"/>
          <w:szCs w:val="20"/>
        </w:rPr>
      </w:pPr>
      <w:r>
        <w:rPr>
          <w:rFonts w:ascii="宋体" w:hAnsi="Times New Roman" w:cs="Times New Roman"/>
          <w:kern w:val="0"/>
          <w:szCs w:val="20"/>
        </w:rPr>
        <w:t>GB/T 11888 首饰 指环尺寸 定义、测量和命名</w:t>
      </w:r>
    </w:p>
    <w:p w14:paraId="02B1513E">
      <w:pPr>
        <w:widowControl/>
        <w:autoSpaceDE w:val="0"/>
        <w:autoSpaceDN w:val="0"/>
        <w:ind w:left="420"/>
        <w:jc w:val="left"/>
        <w:rPr>
          <w:rFonts w:ascii="宋体" w:hAnsi="Times New Roman" w:cs="Times New Roman"/>
          <w:kern w:val="0"/>
          <w:szCs w:val="20"/>
        </w:rPr>
      </w:pPr>
      <w:r>
        <w:rPr>
          <w:rFonts w:ascii="宋体" w:hAnsi="Times New Roman" w:cs="Times New Roman"/>
          <w:kern w:val="0"/>
          <w:szCs w:val="20"/>
        </w:rPr>
        <w:t>GB/T 16552 珠宝玉石 名称</w:t>
      </w:r>
    </w:p>
    <w:p w14:paraId="67865E09">
      <w:pPr>
        <w:widowControl/>
        <w:autoSpaceDE w:val="0"/>
        <w:autoSpaceDN w:val="0"/>
        <w:ind w:left="420"/>
        <w:jc w:val="left"/>
        <w:rPr>
          <w:rFonts w:ascii="宋体" w:hAnsi="Times New Roman" w:cs="Times New Roman"/>
          <w:kern w:val="0"/>
          <w:szCs w:val="20"/>
        </w:rPr>
      </w:pPr>
      <w:r>
        <w:rPr>
          <w:rFonts w:ascii="宋体" w:hAnsi="Times New Roman" w:cs="Times New Roman"/>
          <w:kern w:val="0"/>
          <w:szCs w:val="20"/>
        </w:rPr>
        <w:t>GB/T 16553 珠宝玉石 鉴定</w:t>
      </w:r>
    </w:p>
    <w:p w14:paraId="28D2670D">
      <w:pPr>
        <w:widowControl/>
        <w:autoSpaceDE w:val="0"/>
        <w:autoSpaceDN w:val="0"/>
        <w:ind w:left="420"/>
        <w:jc w:val="left"/>
        <w:rPr>
          <w:rFonts w:ascii="宋体" w:hAnsi="Times New Roman" w:cs="Times New Roman"/>
          <w:kern w:val="0"/>
          <w:szCs w:val="20"/>
        </w:rPr>
      </w:pPr>
      <w:r>
        <w:rPr>
          <w:rFonts w:ascii="宋体" w:hAnsi="Times New Roman" w:cs="Times New Roman"/>
          <w:kern w:val="0"/>
          <w:szCs w:val="20"/>
        </w:rPr>
        <w:t>GB/T 41609 金银饰品传统工艺 术语</w:t>
      </w:r>
    </w:p>
    <w:p w14:paraId="2AC817CB">
      <w:pPr>
        <w:widowControl/>
        <w:autoSpaceDE w:val="0"/>
        <w:autoSpaceDN w:val="0"/>
        <w:ind w:left="420"/>
        <w:jc w:val="left"/>
        <w:rPr>
          <w:rFonts w:ascii="宋体" w:hAnsi="Times New Roman" w:cs="Times New Roman"/>
          <w:kern w:val="0"/>
          <w:szCs w:val="20"/>
        </w:rPr>
      </w:pPr>
      <w:r>
        <w:rPr>
          <w:rFonts w:ascii="宋体" w:hAnsi="Times New Roman" w:cs="Times New Roman"/>
          <w:kern w:val="0"/>
          <w:szCs w:val="20"/>
        </w:rPr>
        <w:t xml:space="preserve">QB/T 1689 </w:t>
      </w:r>
      <w:r>
        <w:rPr>
          <w:rFonts w:hint="eastAsia" w:ascii="宋体" w:hAnsi="Times New Roman" w:cs="Times New Roman"/>
          <w:kern w:val="0"/>
          <w:szCs w:val="20"/>
        </w:rPr>
        <w:t>贵金属饰品术语</w:t>
      </w:r>
    </w:p>
    <w:p w14:paraId="04C80495">
      <w:pPr>
        <w:widowControl/>
        <w:autoSpaceDE w:val="0"/>
        <w:autoSpaceDN w:val="0"/>
        <w:ind w:left="420"/>
        <w:jc w:val="left"/>
        <w:rPr>
          <w:rFonts w:ascii="宋体" w:hAnsi="Times New Roman" w:cs="Times New Roman"/>
          <w:kern w:val="0"/>
          <w:szCs w:val="20"/>
        </w:rPr>
      </w:pPr>
      <w:r>
        <w:rPr>
          <w:rFonts w:hint="eastAsia" w:ascii="宋体" w:hAnsi="Times New Roman" w:cs="Times New Roman"/>
          <w:kern w:val="0"/>
          <w:szCs w:val="20"/>
        </w:rPr>
        <w:t>T/CIQA XXXX-XXXX 品牌消费品鉴定机构及人员管理通用基本规范</w:t>
      </w:r>
    </w:p>
    <w:p w14:paraId="594597D1">
      <w:pPr>
        <w:pStyle w:val="107"/>
        <w:numPr>
          <w:ilvl w:val="0"/>
          <w:numId w:val="35"/>
        </w:numPr>
        <w:spacing w:before="240" w:after="240"/>
        <w:ind w:left="0" w:firstLine="0"/>
      </w:pPr>
      <w:bookmarkStart w:id="23" w:name="_Toc192946497"/>
      <w:r>
        <w:rPr>
          <w:rFonts w:hint="eastAsia"/>
        </w:rPr>
        <w:t>术语和定义</w:t>
      </w:r>
      <w:bookmarkEnd w:id="23"/>
    </w:p>
    <w:sdt>
      <w:sdtPr>
        <w:rPr>
          <w:rFonts w:hint="eastAsia" w:ascii="宋体" w:hAnsi="Times New Roman" w:cs="Times New Roman"/>
          <w:kern w:val="0"/>
          <w:szCs w:val="20"/>
        </w:rPr>
        <w:id w:val="-1909835108"/>
        <w:placeholder>
          <w:docPart w:val="3EA26426AD580E4DBC43FDBAE71BD0B4"/>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rPr>
          <w:rFonts w:hint="eastAsia" w:ascii="宋体" w:hAnsi="Times New Roman" w:cs="Times New Roman"/>
          <w:kern w:val="0"/>
          <w:szCs w:val="20"/>
        </w:rPr>
      </w:sdtEndPr>
      <w:sdtContent>
        <w:p w14:paraId="5DDE1B4B">
          <w:pPr>
            <w:widowControl/>
            <w:autoSpaceDE w:val="0"/>
            <w:autoSpaceDN w:val="0"/>
            <w:ind w:firstLine="424" w:firstLineChars="202"/>
            <w:jc w:val="left"/>
            <w:rPr>
              <w:rFonts w:ascii="宋体" w:hAnsi="Times New Roman" w:cs="Times New Roman"/>
              <w:kern w:val="0"/>
              <w:szCs w:val="20"/>
            </w:rPr>
          </w:pPr>
          <w:bookmarkStart w:id="24" w:name="_Toc26986532"/>
          <w:bookmarkEnd w:id="24"/>
          <w:r>
            <w:rPr>
              <w:rFonts w:hint="eastAsia" w:ascii="宋体" w:hAnsi="Times New Roman" w:cs="Times New Roman"/>
              <w:kern w:val="0"/>
              <w:szCs w:val="20"/>
            </w:rPr>
            <w:t>GB/T 41609和QB/T 1689界定的以及下列术语和定义适用于本文件。</w:t>
          </w:r>
        </w:p>
      </w:sdtContent>
    </w:sdt>
    <w:p w14:paraId="0A2AD1E3">
      <w:pPr>
        <w:pStyle w:val="233"/>
        <w:numPr>
          <w:ilvl w:val="0"/>
          <w:numId w:val="36"/>
        </w:numPr>
        <w:spacing w:before="120" w:beforeLines="50" w:after="120" w:afterLines="50"/>
        <w:ind w:left="442" w:hanging="442"/>
        <w:outlineLvl w:val="2"/>
        <w:rPr>
          <w:rFonts w:ascii="黑体" w:hAnsi="黑体" w:eastAsia="黑体" w:cs="Times New Roman"/>
          <w:color w:val="000000"/>
          <w:sz w:val="21"/>
          <w:szCs w:val="21"/>
        </w:rPr>
      </w:pPr>
      <w:bookmarkStart w:id="25" w:name="_Toc177279716"/>
      <w:bookmarkEnd w:id="25"/>
      <w:bookmarkStart w:id="26" w:name="_Toc177283173"/>
      <w:bookmarkEnd w:id="26"/>
      <w:bookmarkStart w:id="27" w:name="_Toc177989547"/>
      <w:bookmarkEnd w:id="27"/>
      <w:bookmarkStart w:id="28" w:name="_Toc179130097"/>
      <w:bookmarkEnd w:id="28"/>
      <w:bookmarkStart w:id="29" w:name="_Toc183106421"/>
      <w:bookmarkEnd w:id="29"/>
      <w:bookmarkStart w:id="30" w:name="_Toc185099558"/>
      <w:bookmarkEnd w:id="30"/>
      <w:bookmarkStart w:id="31" w:name="_Toc189819677"/>
      <w:bookmarkEnd w:id="31"/>
      <w:bookmarkStart w:id="32" w:name="_Toc191399111"/>
      <w:bookmarkEnd w:id="32"/>
    </w:p>
    <w:p w14:paraId="7E7038C2">
      <w:pPr>
        <w:widowControl/>
        <w:spacing w:before="120" w:beforeLines="50" w:after="120" w:afterLines="50"/>
        <w:ind w:firstLine="420"/>
        <w:outlineLvl w:val="2"/>
        <w:rPr>
          <w:rFonts w:ascii="黑体" w:hAnsi="黑体" w:eastAsia="黑体" w:cs="Times New Roman"/>
          <w:color w:val="000000"/>
          <w:kern w:val="0"/>
          <w:szCs w:val="21"/>
        </w:rPr>
      </w:pPr>
      <w:r>
        <w:rPr>
          <w:rFonts w:hint="eastAsia" w:ascii="黑体" w:hAnsi="黑体" w:eastAsia="黑体" w:cs="Times New Roman"/>
          <w:color w:val="000000"/>
          <w:kern w:val="0"/>
          <w:szCs w:val="21"/>
        </w:rPr>
        <w:t>品牌brand</w:t>
      </w:r>
    </w:p>
    <w:p w14:paraId="6C0654FC">
      <w:pPr>
        <w:widowControl/>
        <w:spacing w:before="120" w:beforeLines="50" w:after="120" w:afterLines="50"/>
        <w:ind w:firstLine="420"/>
        <w:outlineLvl w:val="2"/>
        <w:rPr>
          <w:rFonts w:ascii="黑体" w:hAnsi="黑体" w:eastAsia="黑体" w:cs="Times New Roman"/>
          <w:color w:val="000000"/>
          <w:kern w:val="0"/>
          <w:szCs w:val="21"/>
        </w:rPr>
      </w:pPr>
      <w:r>
        <w:rPr>
          <w:rFonts w:hint="eastAsia" w:ascii="Times New Roman" w:hAnsi="Times New Roman" w:cs="Times New Roman"/>
          <w:color w:val="000000"/>
          <w:kern w:val="0"/>
          <w:szCs w:val="21"/>
        </w:rPr>
        <w:t>与营销相关的无形资产，囊括但是不限定于名称，词组，标记，符号，设计或是它们互相组合用以识别某个销售者或某群销售者的产品或服务，并使之与竞争对手的产品和服务相区别，在利益相关者头脑中留下独特的印象，或相关感受，从而产生经济效益及价值。</w:t>
      </w:r>
    </w:p>
    <w:p w14:paraId="49F733D1">
      <w:pPr>
        <w:widowControl/>
        <w:ind w:firstLine="420" w:firstLineChars="200"/>
        <w:jc w:val="left"/>
        <w:rPr>
          <w:rFonts w:ascii="宋体" w:hAnsi="宋体" w:cs="宋体"/>
          <w:kern w:val="0"/>
          <w:szCs w:val="21"/>
        </w:rPr>
      </w:pPr>
      <w:r>
        <w:rPr>
          <w:rFonts w:hint="eastAsia" w:ascii="宋体" w:hAnsi="宋体" w:cs="宋体"/>
          <w:kern w:val="0"/>
          <w:szCs w:val="21"/>
        </w:rPr>
        <w:t>[来源：ISO</w:t>
      </w:r>
      <w:r>
        <w:rPr>
          <w:rFonts w:ascii="宋体" w:hAnsi="宋体" w:cs="宋体"/>
          <w:kern w:val="0"/>
          <w:szCs w:val="21"/>
        </w:rPr>
        <w:t xml:space="preserve"> 20671-1:2021</w:t>
      </w:r>
      <w:r>
        <w:rPr>
          <w:rFonts w:hint="eastAsia" w:ascii="宋体" w:hAnsi="宋体" w:cs="宋体"/>
          <w:kern w:val="0"/>
          <w:szCs w:val="21"/>
        </w:rPr>
        <w:t>，</w:t>
      </w:r>
      <w:r>
        <w:rPr>
          <w:rFonts w:ascii="宋体" w:hAnsi="宋体" w:cs="宋体"/>
          <w:kern w:val="0"/>
          <w:szCs w:val="21"/>
        </w:rPr>
        <w:t>3.1</w:t>
      </w:r>
      <w:r>
        <w:rPr>
          <w:rFonts w:hint="eastAsia" w:ascii="宋体" w:hAnsi="宋体" w:cs="宋体"/>
          <w:kern w:val="0"/>
          <w:szCs w:val="21"/>
        </w:rPr>
        <w:t>]</w:t>
      </w:r>
    </w:p>
    <w:p w14:paraId="2B8BC4E6">
      <w:pPr>
        <w:pStyle w:val="233"/>
        <w:numPr>
          <w:ilvl w:val="0"/>
          <w:numId w:val="36"/>
        </w:numPr>
        <w:spacing w:before="120" w:beforeLines="50" w:after="120" w:afterLines="50"/>
        <w:ind w:left="442" w:hanging="442"/>
        <w:outlineLvl w:val="2"/>
        <w:rPr>
          <w:rFonts w:ascii="黑体" w:hAnsi="黑体" w:eastAsia="黑体" w:cs="Times New Roman"/>
          <w:color w:val="000000"/>
          <w:sz w:val="21"/>
          <w:szCs w:val="21"/>
        </w:rPr>
      </w:pPr>
      <w:bookmarkStart w:id="33" w:name="_Toc177279717"/>
      <w:bookmarkEnd w:id="33"/>
      <w:bookmarkStart w:id="34" w:name="_Toc177283174"/>
      <w:bookmarkEnd w:id="34"/>
      <w:bookmarkStart w:id="35" w:name="_Toc177989548"/>
      <w:bookmarkEnd w:id="35"/>
      <w:bookmarkStart w:id="36" w:name="_Toc179130098"/>
      <w:bookmarkEnd w:id="36"/>
      <w:bookmarkStart w:id="37" w:name="_Toc183106422"/>
      <w:bookmarkEnd w:id="37"/>
      <w:bookmarkStart w:id="38" w:name="_Toc185099559"/>
      <w:bookmarkEnd w:id="38"/>
      <w:bookmarkStart w:id="39" w:name="_Toc189819678"/>
      <w:bookmarkEnd w:id="39"/>
      <w:bookmarkStart w:id="40" w:name="_Toc191399112"/>
      <w:bookmarkEnd w:id="40"/>
    </w:p>
    <w:p w14:paraId="2C0D7B94">
      <w:pPr>
        <w:widowControl/>
        <w:spacing w:before="120" w:beforeLines="50" w:after="120" w:afterLines="50"/>
        <w:ind w:firstLine="420"/>
        <w:outlineLvl w:val="2"/>
        <w:rPr>
          <w:rFonts w:ascii="黑体" w:hAnsi="黑体" w:eastAsia="黑体" w:cs="Times New Roman"/>
          <w:color w:val="000000"/>
          <w:kern w:val="0"/>
          <w:szCs w:val="28"/>
        </w:rPr>
      </w:pPr>
      <w:r>
        <w:rPr>
          <w:rFonts w:hint="eastAsia" w:ascii="黑体" w:hAnsi="黑体" w:eastAsia="黑体" w:cs="Times New Roman"/>
          <w:color w:val="000000"/>
          <w:kern w:val="0"/>
          <w:szCs w:val="21"/>
        </w:rPr>
        <w:t>饰品</w:t>
      </w:r>
      <w:r>
        <w:rPr>
          <w:rFonts w:hint="eastAsia" w:ascii="黑体" w:hAnsi="黑体" w:eastAsia="黑体" w:cs="Times New Roman"/>
          <w:color w:val="000000"/>
          <w:kern w:val="0"/>
          <w:szCs w:val="21"/>
          <w:lang w:eastAsia="en-US"/>
        </w:rPr>
        <w:t xml:space="preserve"> </w:t>
      </w:r>
      <w:r>
        <w:rPr>
          <w:rFonts w:ascii="黑体" w:hAnsi="黑体" w:eastAsia="黑体" w:cs="Times New Roman"/>
          <w:color w:val="000000"/>
          <w:kern w:val="0"/>
          <w:szCs w:val="21"/>
        </w:rPr>
        <w:t>adornment</w:t>
      </w:r>
    </w:p>
    <w:p w14:paraId="1C4AB64F">
      <w:pPr>
        <w:widowControl/>
        <w:ind w:firstLine="424" w:firstLineChars="202"/>
        <w:jc w:val="left"/>
        <w:rPr>
          <w:rFonts w:ascii="宋体" w:hAnsi="宋体" w:cs="宋体"/>
          <w:kern w:val="0"/>
          <w:sz w:val="24"/>
          <w:szCs w:val="24"/>
        </w:rPr>
      </w:pPr>
      <w:r>
        <w:rPr>
          <w:rFonts w:hint="eastAsia" w:ascii="Segoe UI" w:hAnsi="Segoe UI" w:cs="Segoe UI"/>
          <w:color w:val="05073B"/>
          <w:kern w:val="0"/>
          <w:szCs w:val="21"/>
          <w:shd w:val="clear" w:color="auto" w:fill="FDFDFE"/>
        </w:rPr>
        <w:t>供人佩戴的饰物总称。</w:t>
      </w:r>
    </w:p>
    <w:p w14:paraId="7940AA7F">
      <w:pPr>
        <w:widowControl/>
        <w:autoSpaceDE w:val="0"/>
        <w:autoSpaceDN w:val="0"/>
        <w:ind w:left="425"/>
        <w:jc w:val="left"/>
        <w:rPr>
          <w:rFonts w:ascii="Segoe UI" w:hAnsi="Segoe UI" w:cs="Segoe UI"/>
          <w:color w:val="05073B"/>
          <w:kern w:val="0"/>
          <w:sz w:val="18"/>
          <w:szCs w:val="18"/>
          <w:shd w:val="clear" w:color="auto" w:fill="FDFDFE"/>
        </w:rPr>
      </w:pPr>
      <w:r>
        <w:rPr>
          <w:rFonts w:hint="eastAsia" w:ascii="黑体" w:hAnsi="黑体" w:eastAsia="黑体" w:cs="Segoe UI"/>
          <w:color w:val="05073B"/>
          <w:kern w:val="0"/>
          <w:sz w:val="18"/>
          <w:szCs w:val="18"/>
          <w:shd w:val="clear" w:color="auto" w:fill="FDFDFE"/>
        </w:rPr>
        <w:t>注</w:t>
      </w:r>
      <w:r>
        <w:rPr>
          <w:rFonts w:hint="eastAsia" w:ascii="Segoe UI" w:hAnsi="Segoe UI" w:cs="Segoe UI"/>
          <w:color w:val="05073B"/>
          <w:kern w:val="0"/>
          <w:sz w:val="18"/>
          <w:szCs w:val="18"/>
          <w:shd w:val="clear" w:color="auto" w:fill="FDFDFE"/>
        </w:rPr>
        <w:t>：常见材质</w:t>
      </w:r>
      <w:r>
        <w:rPr>
          <w:rFonts w:ascii="Segoe UI" w:hAnsi="Segoe UI" w:cs="Segoe UI"/>
          <w:color w:val="05073B"/>
          <w:kern w:val="0"/>
          <w:sz w:val="18"/>
          <w:szCs w:val="18"/>
          <w:shd w:val="clear" w:color="auto" w:fill="FDFDFE"/>
        </w:rPr>
        <w:t>包括但不限于钻石、</w:t>
      </w:r>
      <w:r>
        <w:rPr>
          <w:rFonts w:hint="eastAsia" w:ascii="Segoe UI" w:hAnsi="Segoe UI" w:cs="Segoe UI"/>
          <w:color w:val="05073B"/>
          <w:kern w:val="0"/>
          <w:sz w:val="18"/>
          <w:szCs w:val="18"/>
          <w:shd w:val="clear" w:color="auto" w:fill="FDFDFE"/>
        </w:rPr>
        <w:t>红</w:t>
      </w:r>
      <w:r>
        <w:rPr>
          <w:rFonts w:ascii="Segoe UI" w:hAnsi="Segoe UI" w:cs="Segoe UI"/>
          <w:color w:val="05073B"/>
          <w:kern w:val="0"/>
          <w:sz w:val="18"/>
          <w:szCs w:val="18"/>
          <w:shd w:val="clear" w:color="auto" w:fill="FDFDFE"/>
        </w:rPr>
        <w:t>宝石、</w:t>
      </w:r>
      <w:r>
        <w:rPr>
          <w:rFonts w:hint="eastAsia" w:ascii="Segoe UI" w:hAnsi="Segoe UI" w:cs="Segoe UI"/>
          <w:color w:val="05073B"/>
          <w:kern w:val="0"/>
          <w:sz w:val="18"/>
          <w:szCs w:val="18"/>
          <w:shd w:val="clear" w:color="auto" w:fill="FDFDFE"/>
        </w:rPr>
        <w:t>蓝宝石、玛瑙</w:t>
      </w:r>
      <w:r>
        <w:rPr>
          <w:rFonts w:ascii="Segoe UI" w:hAnsi="Segoe UI" w:cs="Segoe UI"/>
          <w:color w:val="05073B"/>
          <w:kern w:val="0"/>
          <w:sz w:val="18"/>
          <w:szCs w:val="18"/>
          <w:shd w:val="clear" w:color="auto" w:fill="FDFDFE"/>
        </w:rPr>
        <w:t>、珍珠</w:t>
      </w:r>
      <w:r>
        <w:rPr>
          <w:rFonts w:hint="eastAsia" w:ascii="Segoe UI" w:hAnsi="Segoe UI" w:cs="Segoe UI"/>
          <w:color w:val="05073B"/>
          <w:kern w:val="0"/>
          <w:sz w:val="18"/>
          <w:szCs w:val="18"/>
          <w:shd w:val="clear" w:color="auto" w:fill="FDFDFE"/>
        </w:rPr>
        <w:t>、贝壳等珠宝玉石以及贵重金属或贵金属合金，以及模仿天然珠宝玉石、贵金属的外观特征的材料以及人工培育宝石系列等</w:t>
      </w:r>
      <w:r>
        <w:rPr>
          <w:rFonts w:ascii="Segoe UI" w:hAnsi="Segoe UI" w:cs="Segoe UI"/>
          <w:color w:val="05073B"/>
          <w:kern w:val="0"/>
          <w:sz w:val="18"/>
          <w:szCs w:val="18"/>
          <w:shd w:val="clear" w:color="auto" w:fill="FDFDFE"/>
        </w:rPr>
        <w:t>。</w:t>
      </w:r>
    </w:p>
    <w:p w14:paraId="40D9B403">
      <w:pPr>
        <w:widowControl/>
        <w:ind w:firstLine="420" w:firstLineChars="200"/>
        <w:jc w:val="left"/>
        <w:rPr>
          <w:rFonts w:ascii="宋体" w:hAnsi="宋体" w:cs="宋体"/>
          <w:kern w:val="0"/>
          <w:szCs w:val="21"/>
        </w:rPr>
      </w:pPr>
      <w:r>
        <w:rPr>
          <w:rFonts w:ascii="宋体" w:hAnsi="宋体" w:cs="宋体"/>
          <w:kern w:val="0"/>
          <w:szCs w:val="21"/>
        </w:rPr>
        <w:t>[</w:t>
      </w:r>
      <w:r>
        <w:rPr>
          <w:rFonts w:hint="eastAsia" w:ascii="宋体" w:hAnsi="宋体" w:cs="宋体"/>
          <w:kern w:val="0"/>
          <w:szCs w:val="21"/>
        </w:rPr>
        <w:t>来源：GB/T</w:t>
      </w:r>
      <w:r>
        <w:rPr>
          <w:rFonts w:ascii="宋体" w:hAnsi="宋体" w:cs="宋体"/>
          <w:kern w:val="0"/>
          <w:szCs w:val="21"/>
        </w:rPr>
        <w:t xml:space="preserve"> 31912-2015</w:t>
      </w:r>
      <w:r>
        <w:rPr>
          <w:rFonts w:hint="eastAsia" w:ascii="宋体" w:hAnsi="宋体" w:cs="宋体"/>
          <w:kern w:val="0"/>
          <w:szCs w:val="21"/>
        </w:rPr>
        <w:t>，</w:t>
      </w:r>
      <w:r>
        <w:rPr>
          <w:rFonts w:ascii="宋体" w:hAnsi="宋体" w:cs="宋体"/>
          <w:kern w:val="0"/>
          <w:szCs w:val="21"/>
        </w:rPr>
        <w:t>3.1</w:t>
      </w:r>
      <w:r>
        <w:rPr>
          <w:rFonts w:hint="eastAsia" w:ascii="宋体" w:hAnsi="宋体" w:cs="宋体"/>
          <w:kern w:val="0"/>
          <w:szCs w:val="21"/>
        </w:rPr>
        <w:t>，有修改</w:t>
      </w:r>
      <w:r>
        <w:rPr>
          <w:rFonts w:ascii="宋体" w:hAnsi="宋体" w:cs="宋体"/>
          <w:kern w:val="0"/>
          <w:szCs w:val="21"/>
        </w:rPr>
        <w:t>]</w:t>
      </w:r>
    </w:p>
    <w:p w14:paraId="7ADBA3E3">
      <w:pPr>
        <w:pStyle w:val="233"/>
        <w:numPr>
          <w:ilvl w:val="0"/>
          <w:numId w:val="36"/>
        </w:numPr>
        <w:spacing w:before="120" w:beforeLines="50" w:after="120" w:afterLines="50"/>
        <w:ind w:left="442" w:hanging="442"/>
        <w:outlineLvl w:val="2"/>
        <w:rPr>
          <w:rFonts w:ascii="黑体" w:hAnsi="黑体" w:eastAsia="黑体" w:cs="Times New Roman"/>
          <w:color w:val="000000"/>
          <w:sz w:val="21"/>
          <w:szCs w:val="21"/>
        </w:rPr>
      </w:pPr>
      <w:bookmarkStart w:id="41" w:name="_Toc177279718"/>
      <w:bookmarkEnd w:id="41"/>
      <w:bookmarkStart w:id="42" w:name="_Toc177283175"/>
      <w:bookmarkEnd w:id="42"/>
      <w:bookmarkStart w:id="43" w:name="_Toc177989549"/>
      <w:bookmarkEnd w:id="43"/>
      <w:bookmarkStart w:id="44" w:name="_Toc179130099"/>
      <w:bookmarkEnd w:id="44"/>
      <w:bookmarkStart w:id="45" w:name="_Toc183106423"/>
      <w:bookmarkEnd w:id="45"/>
      <w:bookmarkStart w:id="46" w:name="_Toc185099560"/>
      <w:bookmarkEnd w:id="46"/>
      <w:bookmarkStart w:id="47" w:name="_Toc189819679"/>
      <w:bookmarkEnd w:id="47"/>
      <w:bookmarkStart w:id="48" w:name="_Toc191399113"/>
      <w:bookmarkEnd w:id="48"/>
    </w:p>
    <w:p w14:paraId="572B42A2">
      <w:pPr>
        <w:widowControl/>
        <w:spacing w:before="120" w:beforeLines="50" w:after="120" w:afterLines="50"/>
        <w:ind w:firstLine="420"/>
        <w:outlineLvl w:val="2"/>
        <w:rPr>
          <w:rFonts w:ascii="黑体" w:hAnsi="黑体" w:eastAsia="黑体" w:cs="Times New Roman"/>
          <w:color w:val="000000"/>
          <w:kern w:val="0"/>
          <w:szCs w:val="21"/>
        </w:rPr>
      </w:pPr>
      <w:r>
        <w:rPr>
          <w:rFonts w:hint="eastAsia" w:ascii="黑体" w:hAnsi="黑体" w:eastAsia="黑体" w:cs="Times New Roman"/>
          <w:color w:val="000000"/>
          <w:kern w:val="0"/>
          <w:szCs w:val="21"/>
          <w:lang w:eastAsia="en-US"/>
        </w:rPr>
        <w:t>品牌</w:t>
      </w:r>
      <w:r>
        <w:rPr>
          <w:rFonts w:hint="eastAsia" w:ascii="黑体" w:hAnsi="黑体" w:eastAsia="黑体" w:cs="Times New Roman"/>
          <w:color w:val="000000"/>
          <w:kern w:val="0"/>
          <w:szCs w:val="21"/>
        </w:rPr>
        <w:t>饰品</w:t>
      </w:r>
      <w:r>
        <w:rPr>
          <w:rFonts w:ascii="黑体" w:hAnsi="黑体" w:eastAsia="黑体" w:cs="Times New Roman"/>
          <w:color w:val="000000"/>
          <w:kern w:val="0"/>
          <w:szCs w:val="21"/>
          <w:lang w:eastAsia="en-US"/>
        </w:rPr>
        <w:t xml:space="preserve">brand </w:t>
      </w:r>
      <w:r>
        <w:rPr>
          <w:rFonts w:ascii="黑体" w:hAnsi="黑体" w:eastAsia="黑体" w:cs="Times New Roman"/>
          <w:color w:val="000000"/>
          <w:kern w:val="0"/>
          <w:szCs w:val="21"/>
        </w:rPr>
        <w:t>adornment</w:t>
      </w:r>
    </w:p>
    <w:p w14:paraId="31A834C4">
      <w:pPr>
        <w:widowControl/>
        <w:autoSpaceDE w:val="0"/>
        <w:autoSpaceDN w:val="0"/>
        <w:ind w:left="420"/>
        <w:jc w:val="left"/>
        <w:rPr>
          <w:rFonts w:ascii="宋体" w:hAnsi="Times New Roman" w:cs="Times New Roman"/>
          <w:kern w:val="0"/>
          <w:szCs w:val="20"/>
        </w:rPr>
      </w:pPr>
      <w:r>
        <w:rPr>
          <w:rFonts w:hint="eastAsia" w:ascii="宋体" w:hAnsi="Times New Roman" w:cs="Times New Roman"/>
          <w:kern w:val="0"/>
          <w:szCs w:val="20"/>
        </w:rPr>
        <w:t>品牌商（商标持有者）设计、生产、制造和销售的饰品。</w:t>
      </w:r>
    </w:p>
    <w:p w14:paraId="49E79A62">
      <w:pPr>
        <w:pStyle w:val="233"/>
        <w:numPr>
          <w:ilvl w:val="0"/>
          <w:numId w:val="36"/>
        </w:numPr>
        <w:spacing w:before="120" w:beforeLines="50" w:after="120" w:afterLines="50"/>
        <w:ind w:left="442" w:hanging="442"/>
        <w:outlineLvl w:val="2"/>
        <w:rPr>
          <w:rFonts w:ascii="黑体" w:hAnsi="黑体" w:eastAsia="黑体" w:cs="Times New Roman"/>
          <w:color w:val="000000"/>
          <w:sz w:val="21"/>
          <w:szCs w:val="21"/>
        </w:rPr>
      </w:pPr>
      <w:bookmarkStart w:id="49" w:name="_Toc177279719"/>
      <w:bookmarkEnd w:id="49"/>
      <w:bookmarkStart w:id="50" w:name="_Toc177283176"/>
      <w:bookmarkEnd w:id="50"/>
      <w:bookmarkStart w:id="51" w:name="_Toc177989550"/>
      <w:bookmarkEnd w:id="51"/>
      <w:bookmarkStart w:id="52" w:name="_Toc179130100"/>
      <w:bookmarkEnd w:id="52"/>
      <w:bookmarkStart w:id="53" w:name="_Toc183106424"/>
      <w:bookmarkEnd w:id="53"/>
      <w:bookmarkStart w:id="54" w:name="_Toc185099561"/>
      <w:bookmarkEnd w:id="54"/>
      <w:bookmarkStart w:id="55" w:name="_Toc189819680"/>
      <w:bookmarkEnd w:id="55"/>
      <w:bookmarkStart w:id="56" w:name="_Toc191399114"/>
      <w:bookmarkEnd w:id="56"/>
      <w:bookmarkStart w:id="57" w:name="_Toc177279720"/>
      <w:bookmarkEnd w:id="57"/>
      <w:bookmarkStart w:id="58" w:name="_Toc177283177"/>
      <w:bookmarkEnd w:id="58"/>
      <w:bookmarkStart w:id="59" w:name="_Toc177989551"/>
      <w:bookmarkEnd w:id="59"/>
      <w:bookmarkStart w:id="60" w:name="_Toc179130101"/>
      <w:bookmarkEnd w:id="60"/>
      <w:bookmarkStart w:id="61" w:name="_Toc183106425"/>
      <w:bookmarkEnd w:id="61"/>
      <w:bookmarkStart w:id="62" w:name="_Toc185099562"/>
      <w:bookmarkEnd w:id="62"/>
      <w:bookmarkStart w:id="63" w:name="_Toc189819681"/>
      <w:bookmarkEnd w:id="63"/>
      <w:bookmarkStart w:id="64" w:name="_Toc191399115"/>
      <w:bookmarkEnd w:id="64"/>
    </w:p>
    <w:p w14:paraId="551A8927">
      <w:pPr>
        <w:widowControl/>
        <w:spacing w:before="120" w:beforeLines="50" w:after="120" w:afterLines="50"/>
        <w:ind w:firstLine="420"/>
        <w:outlineLvl w:val="2"/>
        <w:rPr>
          <w:rFonts w:ascii="黑体" w:hAnsi="黑体" w:eastAsia="黑体" w:cs="Times New Roman"/>
          <w:color w:val="000000"/>
          <w:kern w:val="0"/>
          <w:szCs w:val="21"/>
          <w:lang w:eastAsia="en-US"/>
        </w:rPr>
      </w:pPr>
      <w:r>
        <w:rPr>
          <w:rFonts w:hint="eastAsia" w:ascii="黑体" w:hAnsi="黑体" w:eastAsia="黑体" w:cs="Times New Roman"/>
          <w:color w:val="000000"/>
          <w:kern w:val="0"/>
          <w:szCs w:val="21"/>
          <w:lang w:eastAsia="en-US"/>
        </w:rPr>
        <w:t>产品标识 label</w:t>
      </w:r>
    </w:p>
    <w:p w14:paraId="760C780E">
      <w:pPr>
        <w:widowControl/>
        <w:autoSpaceDE w:val="0"/>
        <w:autoSpaceDN w:val="0"/>
        <w:ind w:left="420"/>
        <w:jc w:val="left"/>
        <w:rPr>
          <w:rFonts w:ascii="宋体" w:hAnsi="Times New Roman" w:cs="Times New Roman"/>
          <w:kern w:val="0"/>
          <w:szCs w:val="21"/>
        </w:rPr>
      </w:pPr>
      <w:r>
        <w:rPr>
          <w:rFonts w:hint="eastAsia" w:ascii="宋体" w:hAnsi="Times New Roman" w:cs="Times New Roman"/>
          <w:kern w:val="0"/>
          <w:szCs w:val="21"/>
        </w:rPr>
        <w:t>产品上加贴或悬挂显示的信息</w:t>
      </w:r>
    </w:p>
    <w:p w14:paraId="57669796">
      <w:pPr>
        <w:widowControl/>
        <w:autoSpaceDE w:val="0"/>
        <w:autoSpaceDN w:val="0"/>
        <w:ind w:left="360"/>
        <w:jc w:val="left"/>
        <w:rPr>
          <w:rFonts w:ascii="宋体" w:hAnsi="Times New Roman" w:cs="Times New Roman"/>
          <w:kern w:val="0"/>
          <w:sz w:val="18"/>
          <w:szCs w:val="18"/>
        </w:rPr>
      </w:pPr>
      <w:r>
        <w:rPr>
          <w:rFonts w:hint="eastAsia" w:ascii="黑体" w:hAnsi="黑体" w:eastAsia="黑体" w:cs="Times New Roman"/>
          <w:kern w:val="0"/>
          <w:sz w:val="18"/>
          <w:szCs w:val="18"/>
        </w:rPr>
        <w:t>示例：</w:t>
      </w:r>
      <w:r>
        <w:rPr>
          <w:rFonts w:hint="eastAsia" w:ascii="宋体" w:hAnsi="Times New Roman" w:cs="Times New Roman"/>
          <w:kern w:val="0"/>
          <w:sz w:val="18"/>
          <w:szCs w:val="18"/>
        </w:rPr>
        <w:t>以标志、贴纸、印刷、标签等形式显示的产品相关信息。</w:t>
      </w:r>
    </w:p>
    <w:p w14:paraId="3E37817A">
      <w:pPr>
        <w:widowControl/>
        <w:ind w:firstLine="420" w:firstLineChars="200"/>
        <w:jc w:val="left"/>
        <w:rPr>
          <w:rFonts w:ascii="宋体" w:hAnsi="宋体" w:cs="宋体"/>
          <w:kern w:val="0"/>
          <w:szCs w:val="21"/>
        </w:rPr>
      </w:pPr>
      <w:r>
        <w:rPr>
          <w:rFonts w:hint="eastAsia" w:ascii="宋体" w:hAnsi="宋体" w:cs="宋体"/>
          <w:kern w:val="0"/>
          <w:szCs w:val="21"/>
        </w:rPr>
        <w:t>[来源：</w:t>
      </w:r>
      <w:r>
        <w:rPr>
          <w:rFonts w:ascii="宋体" w:hAnsi="宋体" w:cs="宋体"/>
          <w:kern w:val="0"/>
          <w:szCs w:val="21"/>
        </w:rPr>
        <w:t>ISO 21041:2018</w:t>
      </w:r>
      <w:r>
        <w:rPr>
          <w:rFonts w:hint="eastAsia" w:ascii="宋体" w:hAnsi="宋体" w:cs="宋体"/>
          <w:kern w:val="0"/>
          <w:szCs w:val="21"/>
        </w:rPr>
        <w:t>，</w:t>
      </w:r>
      <w:r>
        <w:rPr>
          <w:rFonts w:ascii="宋体" w:hAnsi="宋体" w:cs="宋体"/>
          <w:kern w:val="0"/>
          <w:szCs w:val="21"/>
        </w:rPr>
        <w:t>3.3</w:t>
      </w:r>
      <w:r>
        <w:rPr>
          <w:rFonts w:hint="eastAsia" w:ascii="宋体" w:hAnsi="宋体" w:cs="宋体"/>
          <w:kern w:val="0"/>
          <w:szCs w:val="21"/>
        </w:rPr>
        <w:t>]</w:t>
      </w:r>
    </w:p>
    <w:p w14:paraId="726F0C7E">
      <w:pPr>
        <w:pStyle w:val="233"/>
        <w:numPr>
          <w:ilvl w:val="0"/>
          <w:numId w:val="36"/>
        </w:numPr>
        <w:spacing w:before="120" w:beforeLines="50" w:after="120" w:afterLines="50"/>
        <w:ind w:left="442" w:hanging="442"/>
        <w:outlineLvl w:val="2"/>
        <w:rPr>
          <w:rFonts w:ascii="黑体" w:hAnsi="黑体" w:eastAsia="黑体" w:cs="Times New Roman"/>
          <w:color w:val="000000"/>
          <w:sz w:val="21"/>
          <w:szCs w:val="21"/>
        </w:rPr>
      </w:pPr>
      <w:bookmarkStart w:id="65" w:name="_Toc177279721"/>
      <w:bookmarkEnd w:id="65"/>
      <w:bookmarkStart w:id="66" w:name="_Toc177283178"/>
      <w:bookmarkEnd w:id="66"/>
      <w:bookmarkStart w:id="67" w:name="_Toc177989552"/>
      <w:bookmarkEnd w:id="67"/>
      <w:bookmarkStart w:id="68" w:name="_Toc179130102"/>
      <w:bookmarkEnd w:id="68"/>
      <w:bookmarkStart w:id="69" w:name="_Toc183106426"/>
      <w:bookmarkEnd w:id="69"/>
      <w:bookmarkStart w:id="70" w:name="_Toc185099563"/>
      <w:bookmarkEnd w:id="70"/>
      <w:bookmarkStart w:id="71" w:name="_Toc189819682"/>
      <w:bookmarkEnd w:id="71"/>
      <w:bookmarkStart w:id="72" w:name="_Toc191399116"/>
      <w:bookmarkEnd w:id="72"/>
    </w:p>
    <w:p w14:paraId="293F428C">
      <w:pPr>
        <w:widowControl/>
        <w:spacing w:before="120" w:beforeLines="50" w:after="120" w:afterLines="50"/>
        <w:ind w:firstLine="420"/>
        <w:outlineLvl w:val="2"/>
        <w:rPr>
          <w:rFonts w:ascii="黑体" w:hAnsi="黑体" w:eastAsia="黑体" w:cs="Times New Roman"/>
          <w:color w:val="000000"/>
          <w:kern w:val="0"/>
          <w:szCs w:val="21"/>
        </w:rPr>
      </w:pPr>
      <w:r>
        <w:rPr>
          <w:rFonts w:hint="eastAsia" w:ascii="黑体" w:hAnsi="黑体" w:eastAsia="黑体" w:cs="Times New Roman"/>
          <w:color w:val="000000"/>
          <w:kern w:val="0"/>
          <w:szCs w:val="21"/>
        </w:rPr>
        <w:t>保修卡</w:t>
      </w:r>
      <w:r>
        <w:rPr>
          <w:rFonts w:ascii="黑体" w:hAnsi="黑体" w:eastAsia="黑体" w:cs="Times New Roman"/>
          <w:color w:val="000000"/>
          <w:kern w:val="0"/>
          <w:szCs w:val="21"/>
        </w:rPr>
        <w:t>warranty, guarantee</w:t>
      </w:r>
    </w:p>
    <w:p w14:paraId="7AE8C99A">
      <w:pPr>
        <w:widowControl/>
        <w:autoSpaceDE w:val="0"/>
        <w:autoSpaceDN w:val="0"/>
        <w:ind w:left="420"/>
        <w:jc w:val="left"/>
        <w:rPr>
          <w:rFonts w:ascii="宋体" w:hAnsi="Times New Roman" w:cs="Times New Roman"/>
          <w:kern w:val="0"/>
          <w:szCs w:val="21"/>
        </w:rPr>
      </w:pPr>
      <w:r>
        <w:rPr>
          <w:rFonts w:hint="eastAsia" w:ascii="宋体" w:hAnsi="Times New Roman" w:cs="Times New Roman"/>
          <w:kern w:val="0"/>
          <w:szCs w:val="21"/>
        </w:rPr>
        <w:t>品牌商向消费者作出的可执行承诺，即正确维修、更换或退还有缺陷的产品，如果维修不令人满意，消费者有权更换或退款。</w:t>
      </w:r>
    </w:p>
    <w:p w14:paraId="4F8B037E">
      <w:pPr>
        <w:widowControl/>
        <w:ind w:firstLine="420" w:firstLineChars="200"/>
        <w:jc w:val="left"/>
        <w:rPr>
          <w:rFonts w:ascii="宋体" w:hAnsi="宋体" w:cs="宋体"/>
          <w:kern w:val="0"/>
          <w:szCs w:val="21"/>
        </w:rPr>
      </w:pPr>
      <w:r>
        <w:rPr>
          <w:rFonts w:ascii="宋体" w:hAnsi="宋体" w:cs="宋体"/>
          <w:kern w:val="0"/>
          <w:szCs w:val="21"/>
        </w:rPr>
        <w:t>[</w:t>
      </w:r>
      <w:r>
        <w:rPr>
          <w:rFonts w:hint="eastAsia" w:ascii="宋体" w:hAnsi="宋体" w:cs="宋体"/>
          <w:kern w:val="0"/>
          <w:szCs w:val="21"/>
        </w:rPr>
        <w:t>来源：</w:t>
      </w:r>
      <w:r>
        <w:rPr>
          <w:rFonts w:ascii="宋体" w:hAnsi="宋体" w:cs="宋体"/>
          <w:kern w:val="0"/>
          <w:szCs w:val="21"/>
        </w:rPr>
        <w:t>ISO 22059:2020</w:t>
      </w:r>
      <w:r>
        <w:rPr>
          <w:rFonts w:hint="eastAsia" w:ascii="宋体" w:hAnsi="宋体" w:cs="宋体"/>
          <w:kern w:val="0"/>
          <w:szCs w:val="21"/>
        </w:rPr>
        <w:t>，</w:t>
      </w:r>
      <w:r>
        <w:rPr>
          <w:rFonts w:ascii="宋体" w:hAnsi="宋体" w:cs="宋体"/>
          <w:kern w:val="0"/>
          <w:szCs w:val="21"/>
        </w:rPr>
        <w:t>3.15</w:t>
      </w:r>
      <w:r>
        <w:rPr>
          <w:rFonts w:hint="eastAsia" w:ascii="宋体" w:hAnsi="宋体" w:cs="宋体"/>
          <w:kern w:val="0"/>
          <w:szCs w:val="21"/>
        </w:rPr>
        <w:t>]</w:t>
      </w:r>
    </w:p>
    <w:p w14:paraId="2311DDDB">
      <w:pPr>
        <w:pStyle w:val="233"/>
        <w:numPr>
          <w:ilvl w:val="0"/>
          <w:numId w:val="36"/>
        </w:numPr>
        <w:spacing w:before="120" w:beforeLines="50" w:after="120" w:afterLines="50"/>
        <w:ind w:left="442" w:hanging="442"/>
        <w:outlineLvl w:val="2"/>
        <w:rPr>
          <w:rFonts w:ascii="黑体" w:hAnsi="黑体" w:eastAsia="黑体" w:cs="Times New Roman"/>
          <w:color w:val="000000"/>
          <w:sz w:val="21"/>
          <w:szCs w:val="21"/>
        </w:rPr>
      </w:pPr>
      <w:bookmarkStart w:id="73" w:name="_Toc177279722"/>
      <w:bookmarkEnd w:id="73"/>
      <w:bookmarkStart w:id="74" w:name="_Toc177283179"/>
      <w:bookmarkEnd w:id="74"/>
      <w:bookmarkStart w:id="75" w:name="_Toc177989553"/>
      <w:bookmarkEnd w:id="75"/>
      <w:bookmarkStart w:id="76" w:name="_Toc179130103"/>
      <w:bookmarkEnd w:id="76"/>
      <w:bookmarkStart w:id="77" w:name="_Toc183106427"/>
      <w:bookmarkEnd w:id="77"/>
      <w:bookmarkStart w:id="78" w:name="_Toc185099564"/>
      <w:bookmarkEnd w:id="78"/>
      <w:bookmarkStart w:id="79" w:name="_Toc189819683"/>
      <w:bookmarkEnd w:id="79"/>
      <w:bookmarkStart w:id="80" w:name="_Toc191399117"/>
      <w:bookmarkEnd w:id="80"/>
    </w:p>
    <w:p w14:paraId="7F78CF4E">
      <w:pPr>
        <w:widowControl/>
        <w:spacing w:before="120" w:beforeLines="50" w:after="120" w:afterLines="50"/>
        <w:ind w:firstLine="420"/>
        <w:outlineLvl w:val="2"/>
        <w:rPr>
          <w:rFonts w:ascii="黑体" w:hAnsi="黑体" w:eastAsia="黑体" w:cs="Times New Roman"/>
          <w:color w:val="000000"/>
          <w:kern w:val="0"/>
          <w:szCs w:val="21"/>
        </w:rPr>
      </w:pPr>
      <w:r>
        <w:rPr>
          <w:rFonts w:hint="eastAsia" w:ascii="黑体" w:hAnsi="黑体" w:eastAsia="黑体" w:cs="Times New Roman"/>
          <w:color w:val="000000"/>
          <w:kern w:val="0"/>
          <w:szCs w:val="21"/>
        </w:rPr>
        <w:t>防伪信息</w:t>
      </w:r>
      <w:r>
        <w:rPr>
          <w:rFonts w:ascii="黑体" w:hAnsi="黑体" w:eastAsia="黑体" w:cs="Times New Roman"/>
          <w:color w:val="000000"/>
          <w:kern w:val="0"/>
          <w:szCs w:val="21"/>
        </w:rPr>
        <w:t>anti-counterfeiting information</w:t>
      </w:r>
    </w:p>
    <w:p w14:paraId="58B5DEBE">
      <w:pPr>
        <w:widowControl/>
        <w:autoSpaceDE w:val="0"/>
        <w:autoSpaceDN w:val="0"/>
        <w:ind w:firstLine="420" w:firstLineChars="200"/>
        <w:jc w:val="left"/>
        <w:rPr>
          <w:rFonts w:ascii="宋体" w:hAnsi="Times New Roman" w:cs="Times New Roman"/>
          <w:kern w:val="0"/>
          <w:szCs w:val="20"/>
        </w:rPr>
      </w:pPr>
      <w:r>
        <w:rPr>
          <w:rFonts w:hint="eastAsia" w:ascii="宋体" w:hAnsi="Times New Roman" w:cs="Times New Roman"/>
          <w:kern w:val="0"/>
          <w:szCs w:val="20"/>
        </w:rPr>
        <w:t>即防止产品/部件仿冒而采用一种技术手段/措施，该信息可能包括从产品设计、开发、生产、物流、销售、使用、维护、销毁整个过程的完整性以及原材料和部件供应链安全，涵盖了内部开发、外包(外包给公司开发或制造部件和/或产品、并集成到供应产品)等相关信息。</w:t>
      </w:r>
    </w:p>
    <w:p w14:paraId="542EFF28">
      <w:pPr>
        <w:widowControl/>
        <w:ind w:left="896" w:hanging="533"/>
        <w:rPr>
          <w:rFonts w:ascii="Times New Roman" w:hAnsi="Times New Roman" w:cs="Times New Roman"/>
          <w:kern w:val="0"/>
          <w:sz w:val="18"/>
        </w:rPr>
      </w:pPr>
      <w:r>
        <w:rPr>
          <w:rFonts w:hint="eastAsia" w:ascii="黑体" w:hAnsi="黑体" w:eastAsia="黑体" w:cs="Times New Roman"/>
          <w:kern w:val="0"/>
          <w:sz w:val="18"/>
          <w:szCs w:val="18"/>
        </w:rPr>
        <w:t>注1：</w:t>
      </w:r>
      <w:r>
        <w:rPr>
          <w:rFonts w:hint="eastAsia" w:ascii="Times New Roman" w:hAnsi="Times New Roman" w:cs="Times New Roman"/>
          <w:kern w:val="0"/>
          <w:sz w:val="18"/>
          <w:szCs w:val="18"/>
        </w:rPr>
        <w:t>在具备品牌官方系统认证的条件下，通过对品牌产品的防伪信息进行鉴定。根据鉴定结果与正品对比，可得出是否为仿冒品的结论。</w:t>
      </w:r>
    </w:p>
    <w:p w14:paraId="29FF7D18">
      <w:pPr>
        <w:widowControl/>
        <w:ind w:left="896" w:hanging="533"/>
        <w:rPr>
          <w:rFonts w:ascii="Times New Roman" w:hAnsi="Times New Roman" w:cs="Times New Roman"/>
          <w:kern w:val="0"/>
          <w:sz w:val="18"/>
        </w:rPr>
      </w:pPr>
      <w:r>
        <w:rPr>
          <w:rFonts w:hint="eastAsia" w:ascii="黑体" w:hAnsi="黑体" w:eastAsia="黑体" w:cs="Times New Roman"/>
          <w:kern w:val="0"/>
          <w:sz w:val="18"/>
          <w:szCs w:val="18"/>
        </w:rPr>
        <w:t>注2：</w:t>
      </w:r>
      <w:r>
        <w:rPr>
          <w:rFonts w:hint="eastAsia" w:ascii="Times New Roman" w:hAnsi="Times New Roman" w:cs="Times New Roman"/>
          <w:kern w:val="0"/>
          <w:sz w:val="18"/>
          <w:szCs w:val="18"/>
        </w:rPr>
        <w:t>目前常见的防伪信息的体现形式有二维码、RFID和标签细节设置等</w:t>
      </w:r>
      <w:r>
        <w:rPr>
          <w:rFonts w:hint="eastAsia" w:ascii="Times New Roman" w:hAnsi="Times New Roman" w:cs="Times New Roman"/>
          <w:kern w:val="0"/>
          <w:sz w:val="18"/>
        </w:rPr>
        <w:t>。</w:t>
      </w:r>
    </w:p>
    <w:p w14:paraId="496EDA35">
      <w:pPr>
        <w:pStyle w:val="233"/>
        <w:numPr>
          <w:ilvl w:val="0"/>
          <w:numId w:val="36"/>
        </w:numPr>
        <w:spacing w:before="120" w:beforeLines="50" w:after="120" w:afterLines="50"/>
        <w:ind w:left="442" w:hanging="442"/>
        <w:outlineLvl w:val="2"/>
        <w:rPr>
          <w:rFonts w:ascii="黑体" w:hAnsi="黑体" w:eastAsia="黑体" w:cs="Times New Roman"/>
          <w:color w:val="000000"/>
          <w:sz w:val="21"/>
          <w:szCs w:val="21"/>
        </w:rPr>
      </w:pPr>
      <w:bookmarkStart w:id="81" w:name="_Toc179130104"/>
      <w:bookmarkEnd w:id="81"/>
      <w:bookmarkStart w:id="82" w:name="_Toc183106428"/>
      <w:bookmarkEnd w:id="82"/>
      <w:bookmarkStart w:id="83" w:name="_Toc185099565"/>
      <w:bookmarkEnd w:id="83"/>
      <w:bookmarkStart w:id="84" w:name="_Toc189819684"/>
      <w:bookmarkEnd w:id="84"/>
      <w:bookmarkStart w:id="85" w:name="_Toc191399118"/>
      <w:bookmarkEnd w:id="85"/>
    </w:p>
    <w:p w14:paraId="3CB610F3">
      <w:pPr>
        <w:widowControl/>
        <w:spacing w:before="120" w:beforeLines="50" w:after="120" w:afterLines="50"/>
        <w:ind w:firstLine="420"/>
        <w:outlineLvl w:val="2"/>
        <w:rPr>
          <w:rFonts w:ascii="黑体" w:hAnsi="黑体" w:eastAsia="黑体" w:cs="Times New Roman"/>
          <w:color w:val="000000"/>
          <w:kern w:val="0"/>
          <w:szCs w:val="21"/>
          <w:lang w:eastAsia="en-US"/>
        </w:rPr>
      </w:pPr>
      <w:r>
        <w:rPr>
          <w:rFonts w:hint="eastAsia" w:ascii="黑体" w:hAnsi="黑体" w:eastAsia="黑体" w:cs="Times New Roman"/>
          <w:color w:val="000000"/>
          <w:kern w:val="0"/>
          <w:szCs w:val="21"/>
          <w:lang w:eastAsia="en-US"/>
        </w:rPr>
        <w:t xml:space="preserve">保证书 </w:t>
      </w:r>
      <w:r>
        <w:rPr>
          <w:rFonts w:hint="eastAsia" w:ascii="黑体" w:hAnsi="黑体" w:eastAsia="黑体" w:cs="Times New Roman"/>
          <w:color w:val="000000"/>
          <w:kern w:val="0"/>
          <w:szCs w:val="21"/>
        </w:rPr>
        <w:t>ce</w:t>
      </w:r>
      <w:r>
        <w:rPr>
          <w:rFonts w:ascii="黑体" w:hAnsi="黑体" w:eastAsia="黑体" w:cs="Times New Roman"/>
          <w:color w:val="000000"/>
          <w:kern w:val="0"/>
          <w:szCs w:val="21"/>
        </w:rPr>
        <w:t>rtificate</w:t>
      </w:r>
      <w:r>
        <w:rPr>
          <w:rFonts w:ascii="黑体" w:hAnsi="黑体" w:eastAsia="黑体" w:cs="Times New Roman"/>
          <w:color w:val="000000"/>
          <w:kern w:val="0"/>
          <w:szCs w:val="21"/>
          <w:lang w:eastAsia="en-US"/>
        </w:rPr>
        <w:t xml:space="preserve"> </w:t>
      </w:r>
      <w:r>
        <w:rPr>
          <w:rFonts w:hint="eastAsia" w:ascii="黑体" w:hAnsi="黑体" w:eastAsia="黑体" w:cs="Times New Roman"/>
          <w:color w:val="000000"/>
          <w:kern w:val="0"/>
          <w:szCs w:val="21"/>
          <w:lang w:eastAsia="en-US"/>
        </w:rPr>
        <w:t>card</w:t>
      </w:r>
    </w:p>
    <w:p w14:paraId="2FB5111F">
      <w:pPr>
        <w:widowControl/>
        <w:autoSpaceDE w:val="0"/>
        <w:autoSpaceDN w:val="0"/>
        <w:ind w:left="420"/>
        <w:jc w:val="left"/>
        <w:rPr>
          <w:rFonts w:ascii="宋体" w:hAnsi="Times New Roman" w:cs="Times New Roman"/>
          <w:kern w:val="0"/>
          <w:szCs w:val="20"/>
        </w:rPr>
      </w:pPr>
      <w:r>
        <w:rPr>
          <w:rFonts w:hint="eastAsia" w:ascii="宋体" w:hAnsi="Times New Roman" w:cs="Times New Roman"/>
          <w:kern w:val="0"/>
          <w:szCs w:val="20"/>
        </w:rPr>
        <w:t>通常由品牌商或认证机构颁发，用于证明某个物品的真实性和原始性的卡片。</w:t>
      </w:r>
    </w:p>
    <w:p w14:paraId="505E99BE">
      <w:pPr>
        <w:pStyle w:val="233"/>
        <w:numPr>
          <w:ilvl w:val="0"/>
          <w:numId w:val="36"/>
        </w:numPr>
        <w:spacing w:before="120" w:beforeLines="50" w:after="120" w:afterLines="50"/>
        <w:ind w:left="442" w:hanging="442"/>
        <w:outlineLvl w:val="2"/>
        <w:rPr>
          <w:rFonts w:ascii="黑体" w:hAnsi="黑体" w:eastAsia="黑体" w:cs="Times New Roman"/>
          <w:color w:val="000000"/>
          <w:sz w:val="21"/>
          <w:szCs w:val="21"/>
        </w:rPr>
      </w:pPr>
      <w:bookmarkStart w:id="86" w:name="_Toc177279725"/>
      <w:bookmarkEnd w:id="86"/>
      <w:bookmarkStart w:id="87" w:name="_Toc185099566"/>
      <w:bookmarkEnd w:id="87"/>
      <w:bookmarkStart w:id="88" w:name="_Toc177283182"/>
      <w:bookmarkEnd w:id="88"/>
      <w:bookmarkStart w:id="89" w:name="_Toc191399119"/>
      <w:bookmarkEnd w:id="89"/>
      <w:bookmarkStart w:id="90" w:name="_Toc177989555"/>
      <w:bookmarkEnd w:id="90"/>
      <w:bookmarkStart w:id="91" w:name="_Toc177283181"/>
      <w:bookmarkEnd w:id="91"/>
      <w:bookmarkStart w:id="92" w:name="_Toc179130105"/>
      <w:bookmarkEnd w:id="92"/>
      <w:bookmarkStart w:id="93" w:name="_Toc177279724"/>
      <w:bookmarkEnd w:id="93"/>
      <w:bookmarkStart w:id="94" w:name="_Toc179130106"/>
      <w:bookmarkEnd w:id="94"/>
      <w:bookmarkStart w:id="95" w:name="_Toc189819685"/>
      <w:bookmarkEnd w:id="95"/>
      <w:bookmarkStart w:id="96" w:name="_Toc177989556"/>
      <w:bookmarkEnd w:id="96"/>
      <w:bookmarkStart w:id="97" w:name="_Toc183106429"/>
      <w:bookmarkEnd w:id="97"/>
    </w:p>
    <w:p w14:paraId="583CF2CD">
      <w:pPr>
        <w:widowControl/>
        <w:spacing w:before="120" w:beforeLines="50" w:after="120" w:afterLines="50"/>
        <w:ind w:firstLine="420"/>
        <w:outlineLvl w:val="2"/>
        <w:rPr>
          <w:rFonts w:ascii="黑体" w:hAnsi="黑体" w:eastAsia="黑体" w:cs="Times New Roman"/>
          <w:color w:val="000000"/>
          <w:kern w:val="0"/>
          <w:szCs w:val="21"/>
        </w:rPr>
      </w:pPr>
      <w:r>
        <w:rPr>
          <w:rFonts w:hint="eastAsia" w:ascii="黑体" w:hAnsi="黑体" w:eastAsia="黑体" w:cs="Times New Roman"/>
          <w:color w:val="000000"/>
          <w:kern w:val="0"/>
          <w:szCs w:val="21"/>
        </w:rPr>
        <w:t xml:space="preserve">对比样品 </w:t>
      </w:r>
      <w:r>
        <w:rPr>
          <w:rFonts w:ascii="黑体" w:hAnsi="黑体" w:eastAsia="黑体" w:cs="Times New Roman"/>
          <w:color w:val="000000"/>
          <w:kern w:val="0"/>
          <w:szCs w:val="21"/>
        </w:rPr>
        <w:t>r</w:t>
      </w:r>
      <w:r>
        <w:rPr>
          <w:rFonts w:hint="eastAsia" w:ascii="黑体" w:hAnsi="黑体" w:eastAsia="黑体" w:cs="Times New Roman"/>
          <w:color w:val="000000"/>
          <w:kern w:val="0"/>
          <w:szCs w:val="21"/>
        </w:rPr>
        <w:t xml:space="preserve">eference sample </w:t>
      </w:r>
    </w:p>
    <w:p w14:paraId="353B8814">
      <w:pPr>
        <w:widowControl/>
        <w:autoSpaceDE w:val="0"/>
        <w:autoSpaceDN w:val="0"/>
        <w:ind w:left="420"/>
        <w:jc w:val="left"/>
        <w:rPr>
          <w:rFonts w:ascii="宋体" w:hAnsi="Times New Roman" w:cs="Times New Roman"/>
          <w:kern w:val="0"/>
          <w:szCs w:val="20"/>
        </w:rPr>
      </w:pPr>
      <w:r>
        <w:rPr>
          <w:rFonts w:hint="eastAsia" w:ascii="宋体" w:hAnsi="Times New Roman" w:cs="Times New Roman"/>
          <w:kern w:val="0"/>
          <w:szCs w:val="20"/>
        </w:rPr>
        <w:t>通过送检样品标识的品牌，从品牌商官方渠道获得同一货号同颜色的品牌实物。</w:t>
      </w:r>
    </w:p>
    <w:p w14:paraId="47E0266E">
      <w:pPr>
        <w:widowControl/>
        <w:autoSpaceDE w:val="0"/>
        <w:autoSpaceDN w:val="0"/>
        <w:ind w:left="848" w:leftChars="171" w:hanging="489" w:hangingChars="272"/>
        <w:jc w:val="left"/>
        <w:rPr>
          <w:rFonts w:ascii="宋体" w:hAnsi="Times New Roman" w:cs="Times New Roman"/>
          <w:kern w:val="0"/>
          <w:sz w:val="18"/>
          <w:szCs w:val="18"/>
        </w:rPr>
      </w:pPr>
      <w:r>
        <w:rPr>
          <w:rFonts w:hint="eastAsia" w:ascii="黑体" w:hAnsi="黑体" w:eastAsia="黑体" w:cs="Times New Roman"/>
          <w:kern w:val="0"/>
          <w:sz w:val="18"/>
          <w:szCs w:val="18"/>
        </w:rPr>
        <w:t>注 1：</w:t>
      </w:r>
      <w:r>
        <w:rPr>
          <w:rFonts w:hint="eastAsia" w:ascii="宋体" w:hAnsi="Times New Roman" w:cs="Times New Roman"/>
          <w:kern w:val="0"/>
          <w:sz w:val="18"/>
          <w:szCs w:val="18"/>
        </w:rPr>
        <w:t>如无法获得品牌实物，通过品牌饰品官网对公示信息选择适当的采集（如下载、截图等），设置适当条件和保存格式，进行高质量数字化采集，形成品牌信息文件。品牌信息文件可作为对比样品。</w:t>
      </w:r>
    </w:p>
    <w:p w14:paraId="7D2F2884">
      <w:pPr>
        <w:widowControl/>
        <w:autoSpaceDE w:val="0"/>
        <w:autoSpaceDN w:val="0"/>
        <w:ind w:left="848" w:leftChars="171" w:hanging="489" w:hangingChars="272"/>
        <w:jc w:val="left"/>
        <w:rPr>
          <w:rFonts w:ascii="宋体" w:hAnsi="Times New Roman" w:cs="Times New Roman"/>
          <w:kern w:val="0"/>
          <w:sz w:val="18"/>
          <w:szCs w:val="18"/>
        </w:rPr>
      </w:pPr>
      <w:r>
        <w:rPr>
          <w:rFonts w:hint="eastAsia" w:ascii="黑体" w:hAnsi="黑体" w:eastAsia="黑体" w:cs="Times New Roman"/>
          <w:kern w:val="0"/>
          <w:sz w:val="18"/>
          <w:szCs w:val="18"/>
        </w:rPr>
        <w:t>注 2：</w:t>
      </w:r>
      <w:r>
        <w:rPr>
          <w:rFonts w:hint="eastAsia" w:ascii="宋体" w:hAnsi="Times New Roman" w:cs="Times New Roman"/>
          <w:kern w:val="0"/>
          <w:sz w:val="18"/>
          <w:szCs w:val="18"/>
        </w:rPr>
        <w:t>对于无法通过以上渠道获取品牌实物或品牌信息文件的，需向品牌商咨询和开展市场调查，形成品牌调研文件。品牌调研文件可作为对比样品。</w:t>
      </w:r>
    </w:p>
    <w:p w14:paraId="15325900">
      <w:pPr>
        <w:pStyle w:val="233"/>
        <w:numPr>
          <w:ilvl w:val="0"/>
          <w:numId w:val="36"/>
        </w:numPr>
        <w:spacing w:before="120" w:beforeLines="50" w:after="120" w:afterLines="50"/>
        <w:ind w:left="442" w:hanging="442"/>
        <w:outlineLvl w:val="2"/>
        <w:rPr>
          <w:rFonts w:ascii="黑体" w:hAnsi="黑体" w:eastAsia="黑体" w:cs="Times New Roman"/>
          <w:color w:val="000000"/>
          <w:sz w:val="21"/>
          <w:szCs w:val="21"/>
        </w:rPr>
      </w:pPr>
      <w:bookmarkStart w:id="98" w:name="_Toc185099567"/>
      <w:bookmarkEnd w:id="98"/>
      <w:bookmarkStart w:id="99" w:name="_Toc183106430"/>
      <w:bookmarkEnd w:id="99"/>
      <w:bookmarkStart w:id="100" w:name="_Toc189819686"/>
      <w:bookmarkEnd w:id="100"/>
      <w:bookmarkStart w:id="101" w:name="_Toc191399120"/>
      <w:bookmarkEnd w:id="101"/>
    </w:p>
    <w:p w14:paraId="478D1104">
      <w:pPr>
        <w:widowControl/>
        <w:spacing w:before="120" w:beforeLines="50" w:after="120" w:afterLines="50"/>
        <w:ind w:firstLine="420"/>
        <w:outlineLvl w:val="2"/>
        <w:rPr>
          <w:rFonts w:ascii="黑体" w:hAnsi="黑体" w:eastAsia="黑体" w:cs="Times New Roman"/>
          <w:color w:val="000000"/>
          <w:kern w:val="0"/>
          <w:szCs w:val="21"/>
        </w:rPr>
      </w:pPr>
      <w:r>
        <w:rPr>
          <w:rFonts w:hint="eastAsia" w:ascii="黑体" w:hAnsi="黑体" w:eastAsia="黑体" w:cs="Times New Roman"/>
          <w:color w:val="000000"/>
          <w:kern w:val="0"/>
          <w:szCs w:val="21"/>
        </w:rPr>
        <w:t xml:space="preserve">送检样品 </w:t>
      </w:r>
      <w:r>
        <w:rPr>
          <w:rFonts w:ascii="黑体" w:hAnsi="黑体" w:eastAsia="黑体" w:cs="Times New Roman"/>
          <w:color w:val="000000"/>
          <w:kern w:val="0"/>
          <w:szCs w:val="21"/>
        </w:rPr>
        <w:t>test sample</w:t>
      </w:r>
    </w:p>
    <w:p w14:paraId="73336E32">
      <w:pPr>
        <w:widowControl/>
        <w:autoSpaceDE w:val="0"/>
        <w:autoSpaceDN w:val="0"/>
        <w:ind w:left="420"/>
        <w:jc w:val="left"/>
        <w:rPr>
          <w:rFonts w:ascii="宋体" w:hAnsi="Times New Roman" w:cs="Times New Roman"/>
          <w:kern w:val="0"/>
          <w:szCs w:val="20"/>
        </w:rPr>
      </w:pPr>
      <w:r>
        <w:rPr>
          <w:rFonts w:hint="eastAsia" w:ascii="宋体" w:hAnsi="Times New Roman" w:cs="Times New Roman"/>
          <w:kern w:val="0"/>
          <w:szCs w:val="20"/>
        </w:rPr>
        <w:t>需要通过鉴定程序得出鉴定结论的饰品。</w:t>
      </w:r>
    </w:p>
    <w:p w14:paraId="7D5F67DB">
      <w:pPr>
        <w:pStyle w:val="233"/>
        <w:numPr>
          <w:ilvl w:val="0"/>
          <w:numId w:val="36"/>
        </w:numPr>
        <w:spacing w:before="120" w:beforeLines="50" w:after="120" w:afterLines="50"/>
        <w:ind w:left="442" w:hanging="442"/>
        <w:outlineLvl w:val="2"/>
        <w:rPr>
          <w:rFonts w:ascii="黑体" w:hAnsi="黑体" w:eastAsia="黑体" w:cs="Times New Roman"/>
          <w:color w:val="000000"/>
          <w:sz w:val="21"/>
          <w:szCs w:val="21"/>
        </w:rPr>
      </w:pPr>
    </w:p>
    <w:p w14:paraId="50202755">
      <w:pPr>
        <w:widowControl/>
        <w:spacing w:before="120" w:beforeLines="50" w:after="120" w:afterLines="50"/>
        <w:ind w:firstLine="420"/>
        <w:outlineLvl w:val="2"/>
        <w:rPr>
          <w:rFonts w:ascii="黑体" w:hAnsi="黑体" w:eastAsia="黑体" w:cs="Times New Roman"/>
          <w:color w:val="000000"/>
          <w:kern w:val="0"/>
          <w:szCs w:val="21"/>
        </w:rPr>
      </w:pPr>
      <w:r>
        <w:rPr>
          <w:rFonts w:hint="eastAsia" w:ascii="黑体" w:hAnsi="黑体" w:eastAsia="黑体" w:cs="Times New Roman"/>
          <w:color w:val="000000"/>
          <w:kern w:val="0"/>
          <w:szCs w:val="21"/>
        </w:rPr>
        <w:t>仿冒 counterfeit</w:t>
      </w:r>
    </w:p>
    <w:p w14:paraId="7C91BB92">
      <w:pPr>
        <w:widowControl/>
        <w:autoSpaceDE w:val="0"/>
        <w:autoSpaceDN w:val="0"/>
        <w:ind w:left="420"/>
        <w:jc w:val="left"/>
        <w:rPr>
          <w:rFonts w:ascii="宋体" w:hAnsi="Times New Roman" w:cs="Times New Roman"/>
          <w:kern w:val="0"/>
          <w:szCs w:val="21"/>
        </w:rPr>
      </w:pPr>
      <w:r>
        <w:rPr>
          <w:rFonts w:hint="eastAsia" w:ascii="宋体" w:hAnsi="Times New Roman" w:cs="Times New Roman"/>
          <w:kern w:val="0"/>
          <w:szCs w:val="21"/>
        </w:rPr>
        <w:t>由非正规供应商生产，或经未授权渠道提供，并被包装为合法正规产品的行为。</w:t>
      </w:r>
    </w:p>
    <w:p w14:paraId="482C18ED">
      <w:pPr>
        <w:widowControl/>
        <w:ind w:firstLine="420" w:firstLineChars="200"/>
        <w:jc w:val="left"/>
        <w:rPr>
          <w:rFonts w:ascii="宋体" w:hAnsi="宋体" w:cs="宋体"/>
          <w:kern w:val="0"/>
          <w:szCs w:val="21"/>
        </w:rPr>
      </w:pPr>
      <w:r>
        <w:rPr>
          <w:rFonts w:hint="eastAsia" w:ascii="宋体" w:hAnsi="宋体" w:cs="宋体"/>
          <w:kern w:val="0"/>
          <w:szCs w:val="21"/>
        </w:rPr>
        <w:t>[来源：</w:t>
      </w:r>
      <w:r>
        <w:rPr>
          <w:rFonts w:ascii="宋体" w:hAnsi="宋体" w:cs="宋体"/>
          <w:kern w:val="0"/>
          <w:szCs w:val="21"/>
        </w:rPr>
        <w:t>ISO/IEC 20243-1:2023</w:t>
      </w:r>
      <w:r>
        <w:rPr>
          <w:rFonts w:hint="eastAsia" w:ascii="宋体" w:hAnsi="宋体" w:cs="宋体"/>
          <w:kern w:val="0"/>
          <w:szCs w:val="21"/>
        </w:rPr>
        <w:t>，</w:t>
      </w:r>
      <w:r>
        <w:rPr>
          <w:rFonts w:ascii="宋体" w:hAnsi="宋体" w:cs="宋体"/>
          <w:kern w:val="0"/>
          <w:szCs w:val="21"/>
        </w:rPr>
        <w:t>3.14</w:t>
      </w:r>
      <w:r>
        <w:rPr>
          <w:rFonts w:hint="eastAsia" w:ascii="宋体" w:hAnsi="宋体" w:cs="宋体"/>
          <w:kern w:val="0"/>
          <w:szCs w:val="21"/>
        </w:rPr>
        <w:t>]</w:t>
      </w:r>
    </w:p>
    <w:p w14:paraId="17176D1A">
      <w:pPr>
        <w:pStyle w:val="107"/>
        <w:numPr>
          <w:ilvl w:val="0"/>
          <w:numId w:val="35"/>
        </w:numPr>
        <w:spacing w:before="240" w:after="240"/>
        <w:ind w:left="0" w:firstLine="0"/>
      </w:pPr>
      <w:bookmarkStart w:id="102" w:name="_Toc177279726"/>
      <w:bookmarkEnd w:id="102"/>
      <w:bookmarkStart w:id="103" w:name="_Toc177283183"/>
      <w:bookmarkEnd w:id="103"/>
      <w:bookmarkStart w:id="104" w:name="_Toc177989557"/>
      <w:bookmarkEnd w:id="104"/>
      <w:bookmarkStart w:id="105" w:name="_Toc177279727"/>
      <w:bookmarkEnd w:id="105"/>
      <w:bookmarkStart w:id="106" w:name="_Toc177283184"/>
      <w:bookmarkEnd w:id="106"/>
      <w:bookmarkStart w:id="107" w:name="_Toc177989558"/>
      <w:bookmarkEnd w:id="107"/>
      <w:bookmarkStart w:id="108" w:name="_Toc192946498"/>
      <w:r>
        <w:rPr>
          <w:rFonts w:hint="eastAsia"/>
        </w:rPr>
        <w:t>鉴定机构</w:t>
      </w:r>
      <w:bookmarkEnd w:id="108"/>
    </w:p>
    <w:p w14:paraId="721A86A5">
      <w:pPr>
        <w:widowControl/>
        <w:autoSpaceDE w:val="0"/>
        <w:autoSpaceDN w:val="0"/>
        <w:ind w:left="420"/>
        <w:jc w:val="left"/>
        <w:rPr>
          <w:rFonts w:ascii="宋体" w:hAnsi="Times New Roman" w:cs="Times New Roman"/>
          <w:kern w:val="0"/>
          <w:szCs w:val="20"/>
        </w:rPr>
      </w:pPr>
      <w:r>
        <w:rPr>
          <w:rFonts w:hint="eastAsia" w:ascii="宋体" w:hAnsi="Times New Roman" w:cs="Times New Roman"/>
          <w:kern w:val="0"/>
          <w:szCs w:val="20"/>
        </w:rPr>
        <w:t>鉴定机构应符合T/CIQA XXXX-XXXX 的规定。</w:t>
      </w:r>
    </w:p>
    <w:p w14:paraId="7EAC5E1A">
      <w:pPr>
        <w:pStyle w:val="107"/>
        <w:numPr>
          <w:ilvl w:val="0"/>
          <w:numId w:val="35"/>
        </w:numPr>
        <w:spacing w:before="240" w:after="240"/>
        <w:ind w:left="0" w:firstLine="0"/>
      </w:pPr>
      <w:bookmarkStart w:id="109" w:name="_Toc192946499"/>
      <w:r>
        <w:rPr>
          <w:rFonts w:hint="eastAsia"/>
        </w:rPr>
        <w:t>鉴定人员</w:t>
      </w:r>
      <w:bookmarkEnd w:id="109"/>
    </w:p>
    <w:p w14:paraId="35A2F685">
      <w:pPr>
        <w:widowControl/>
        <w:autoSpaceDE w:val="0"/>
        <w:autoSpaceDN w:val="0"/>
        <w:ind w:firstLine="424" w:firstLineChars="202"/>
        <w:jc w:val="left"/>
        <w:rPr>
          <w:rFonts w:ascii="宋体" w:hAnsi="Times New Roman" w:cs="Times New Roman"/>
          <w:kern w:val="0"/>
          <w:szCs w:val="20"/>
        </w:rPr>
      </w:pPr>
      <w:r>
        <w:rPr>
          <w:rFonts w:hint="eastAsia" w:ascii="宋体" w:hAnsi="Times New Roman" w:cs="Times New Roman"/>
          <w:kern w:val="0"/>
          <w:szCs w:val="20"/>
        </w:rPr>
        <w:t>鉴定人员应符合T/CIQA XXXX-XXXX 的规定。鉴定人员应熟知GB</w:t>
      </w:r>
      <w:r>
        <w:rPr>
          <w:rFonts w:ascii="宋体" w:hAnsi="Times New Roman" w:cs="Times New Roman"/>
          <w:kern w:val="0"/>
          <w:szCs w:val="20"/>
        </w:rPr>
        <w:t>11887</w:t>
      </w:r>
      <w:r>
        <w:rPr>
          <w:rFonts w:hint="eastAsia" w:ascii="宋体" w:hAnsi="Times New Roman" w:cs="Times New Roman"/>
          <w:kern w:val="0"/>
          <w:szCs w:val="20"/>
        </w:rPr>
        <w:t>、</w:t>
      </w:r>
      <w:r>
        <w:rPr>
          <w:rFonts w:ascii="宋体" w:hAnsi="Times New Roman" w:cs="Times New Roman"/>
          <w:kern w:val="0"/>
          <w:szCs w:val="20"/>
        </w:rPr>
        <w:t>GB/T 11888</w:t>
      </w:r>
      <w:r>
        <w:rPr>
          <w:rFonts w:hint="eastAsia" w:ascii="宋体" w:hAnsi="Times New Roman" w:cs="Times New Roman"/>
          <w:kern w:val="0"/>
          <w:szCs w:val="20"/>
        </w:rPr>
        <w:t>、GB/T</w:t>
      </w:r>
      <w:r>
        <w:rPr>
          <w:rFonts w:ascii="宋体" w:hAnsi="Times New Roman" w:cs="Times New Roman"/>
          <w:kern w:val="0"/>
          <w:szCs w:val="20"/>
        </w:rPr>
        <w:t xml:space="preserve"> 16552</w:t>
      </w:r>
      <w:r>
        <w:rPr>
          <w:rFonts w:hint="eastAsia" w:ascii="宋体" w:hAnsi="Times New Roman" w:cs="Times New Roman"/>
          <w:kern w:val="0"/>
          <w:szCs w:val="20"/>
        </w:rPr>
        <w:t>、GB/T</w:t>
      </w:r>
      <w:r>
        <w:rPr>
          <w:rFonts w:ascii="宋体" w:hAnsi="Times New Roman" w:cs="Times New Roman"/>
          <w:kern w:val="0"/>
          <w:szCs w:val="20"/>
        </w:rPr>
        <w:t xml:space="preserve"> 16553</w:t>
      </w:r>
      <w:r>
        <w:rPr>
          <w:rFonts w:hint="eastAsia" w:ascii="宋体" w:hAnsi="Times New Roman" w:cs="Times New Roman"/>
          <w:kern w:val="0"/>
          <w:szCs w:val="20"/>
        </w:rPr>
        <w:t>等相关首饰鉴定分级、命名、标识相关国家标准和行业标准。每次鉴定工作至少由三名鉴定人员组成鉴定组。</w:t>
      </w:r>
    </w:p>
    <w:p w14:paraId="47D81585">
      <w:pPr>
        <w:pStyle w:val="107"/>
        <w:numPr>
          <w:ilvl w:val="0"/>
          <w:numId w:val="35"/>
        </w:numPr>
        <w:spacing w:before="240" w:after="240"/>
        <w:ind w:left="0" w:firstLine="0"/>
      </w:pPr>
      <w:bookmarkStart w:id="110" w:name="_Toc192946500"/>
      <w:r>
        <w:rPr>
          <w:rFonts w:hint="eastAsia"/>
        </w:rPr>
        <w:t>仪器与设备</w:t>
      </w:r>
      <w:bookmarkEnd w:id="110"/>
    </w:p>
    <w:p w14:paraId="47BE7AEA">
      <w:pPr>
        <w:widowControl/>
        <w:outlineLvl w:val="2"/>
        <w:rPr>
          <w:rFonts w:ascii="宋体" w:hAnsi="黑体" w:cs="Times New Roman"/>
          <w:kern w:val="0"/>
          <w:szCs w:val="21"/>
        </w:rPr>
      </w:pPr>
      <w:r>
        <w:rPr>
          <w:rFonts w:ascii="黑体" w:hAnsi="黑体" w:eastAsia="黑体" w:cs="Times New Roman"/>
          <w:kern w:val="0"/>
          <w:szCs w:val="21"/>
        </w:rPr>
        <w:t>6.1</w:t>
      </w:r>
      <w:r>
        <w:rPr>
          <w:rFonts w:ascii="宋体" w:hAnsi="黑体" w:cs="Times New Roman"/>
          <w:kern w:val="0"/>
          <w:szCs w:val="21"/>
        </w:rPr>
        <w:t xml:space="preserve"> </w:t>
      </w:r>
      <w:r>
        <w:rPr>
          <w:rFonts w:hint="eastAsia" w:ascii="宋体" w:hAnsi="黑体" w:cs="Times New Roman"/>
          <w:kern w:val="0"/>
          <w:szCs w:val="21"/>
        </w:rPr>
        <w:t>放大镜，不低于2</w:t>
      </w:r>
      <w:r>
        <w:rPr>
          <w:rFonts w:ascii="宋体" w:hAnsi="黑体" w:cs="Times New Roman"/>
          <w:kern w:val="0"/>
          <w:szCs w:val="21"/>
        </w:rPr>
        <w:t>0</w:t>
      </w:r>
      <w:r>
        <w:rPr>
          <w:rFonts w:hint="eastAsia" w:ascii="宋体" w:hAnsi="黑体" w:cs="Times New Roman"/>
          <w:kern w:val="0"/>
          <w:szCs w:val="21"/>
        </w:rPr>
        <w:t>倍。</w:t>
      </w:r>
    </w:p>
    <w:p w14:paraId="717E368D">
      <w:pPr>
        <w:widowControl/>
        <w:outlineLvl w:val="2"/>
        <w:rPr>
          <w:rFonts w:ascii="宋体" w:hAnsi="黑体" w:cs="Times New Roman"/>
          <w:kern w:val="0"/>
          <w:szCs w:val="21"/>
        </w:rPr>
      </w:pPr>
      <w:r>
        <w:rPr>
          <w:rFonts w:ascii="黑体" w:hAnsi="黑体" w:eastAsia="黑体" w:cs="Times New Roman"/>
          <w:kern w:val="0"/>
          <w:szCs w:val="21"/>
        </w:rPr>
        <w:t>6.2</w:t>
      </w:r>
      <w:r>
        <w:rPr>
          <w:rFonts w:ascii="宋体" w:hAnsi="黑体" w:cs="Times New Roman"/>
          <w:kern w:val="0"/>
          <w:szCs w:val="21"/>
        </w:rPr>
        <w:t xml:space="preserve"> </w:t>
      </w:r>
      <w:r>
        <w:rPr>
          <w:rFonts w:hint="eastAsia" w:ascii="宋体" w:hAnsi="黑体" w:cs="Times New Roman"/>
          <w:kern w:val="0"/>
          <w:szCs w:val="21"/>
        </w:rPr>
        <w:t>宝石显微镜，不低于2</w:t>
      </w:r>
      <w:r>
        <w:rPr>
          <w:rFonts w:ascii="宋体" w:hAnsi="黑体" w:cs="Times New Roman"/>
          <w:kern w:val="0"/>
          <w:szCs w:val="21"/>
        </w:rPr>
        <w:t>0</w:t>
      </w:r>
      <w:r>
        <w:rPr>
          <w:rFonts w:hint="eastAsia" w:ascii="宋体" w:hAnsi="黑体" w:cs="Times New Roman"/>
          <w:kern w:val="0"/>
          <w:szCs w:val="21"/>
        </w:rPr>
        <w:t>倍。</w:t>
      </w:r>
    </w:p>
    <w:p w14:paraId="11FFAD5F">
      <w:pPr>
        <w:widowControl/>
        <w:outlineLvl w:val="2"/>
        <w:rPr>
          <w:rFonts w:ascii="宋体" w:hAnsi="黑体" w:cs="Times New Roman"/>
          <w:kern w:val="0"/>
          <w:szCs w:val="21"/>
        </w:rPr>
      </w:pPr>
      <w:r>
        <w:rPr>
          <w:rFonts w:ascii="黑体" w:hAnsi="黑体" w:eastAsia="黑体" w:cs="Times New Roman"/>
          <w:kern w:val="0"/>
          <w:szCs w:val="21"/>
        </w:rPr>
        <w:t>6.3</w:t>
      </w:r>
      <w:r>
        <w:rPr>
          <w:rFonts w:ascii="宋体" w:hAnsi="黑体" w:cs="Times New Roman"/>
          <w:kern w:val="0"/>
          <w:szCs w:val="21"/>
        </w:rPr>
        <w:t xml:space="preserve"> </w:t>
      </w:r>
      <w:r>
        <w:rPr>
          <w:rFonts w:hint="eastAsia" w:ascii="宋体" w:hAnsi="黑体" w:cs="Times New Roman"/>
          <w:kern w:val="0"/>
          <w:szCs w:val="21"/>
        </w:rPr>
        <w:t>游标卡尺，精度0</w:t>
      </w:r>
      <w:r>
        <w:rPr>
          <w:rFonts w:ascii="宋体" w:hAnsi="黑体" w:cs="Times New Roman"/>
          <w:kern w:val="0"/>
          <w:szCs w:val="21"/>
        </w:rPr>
        <w:t xml:space="preserve">.02 </w:t>
      </w:r>
      <w:r>
        <w:rPr>
          <w:rFonts w:hint="eastAsia" w:ascii="宋体" w:hAnsi="黑体" w:cs="Times New Roman"/>
          <w:kern w:val="0"/>
          <w:szCs w:val="21"/>
        </w:rPr>
        <w:t>mm。</w:t>
      </w:r>
    </w:p>
    <w:p w14:paraId="18AAC971">
      <w:pPr>
        <w:widowControl/>
        <w:outlineLvl w:val="2"/>
        <w:rPr>
          <w:rFonts w:ascii="宋体" w:hAnsi="黑体" w:cs="Times New Roman"/>
          <w:kern w:val="0"/>
          <w:szCs w:val="21"/>
        </w:rPr>
      </w:pPr>
      <w:r>
        <w:rPr>
          <w:rFonts w:ascii="黑体" w:hAnsi="黑体" w:eastAsia="黑体" w:cs="Times New Roman"/>
          <w:kern w:val="0"/>
          <w:szCs w:val="21"/>
        </w:rPr>
        <w:t>6.4</w:t>
      </w:r>
      <w:r>
        <w:rPr>
          <w:rFonts w:ascii="宋体" w:hAnsi="黑体" w:cs="Times New Roman"/>
          <w:kern w:val="0"/>
          <w:szCs w:val="21"/>
        </w:rPr>
        <w:t xml:space="preserve"> </w:t>
      </w:r>
      <w:r>
        <w:rPr>
          <w:rFonts w:hint="eastAsia" w:ascii="宋体" w:hAnsi="黑体" w:cs="Times New Roman"/>
          <w:kern w:val="0"/>
          <w:szCs w:val="21"/>
        </w:rPr>
        <w:t>紫光灯，3</w:t>
      </w:r>
      <w:r>
        <w:rPr>
          <w:rFonts w:ascii="宋体" w:hAnsi="黑体" w:cs="Times New Roman"/>
          <w:kern w:val="0"/>
          <w:szCs w:val="21"/>
        </w:rPr>
        <w:t>65 nm</w:t>
      </w:r>
      <w:r>
        <w:rPr>
          <w:rFonts w:hint="eastAsia" w:ascii="宋体" w:hAnsi="黑体" w:cs="Times New Roman"/>
          <w:kern w:val="0"/>
          <w:szCs w:val="21"/>
        </w:rPr>
        <w:t>。</w:t>
      </w:r>
    </w:p>
    <w:p w14:paraId="6AFEA2CE">
      <w:pPr>
        <w:widowControl/>
        <w:outlineLvl w:val="2"/>
        <w:rPr>
          <w:rFonts w:ascii="宋体" w:hAnsi="黑体" w:cs="Times New Roman"/>
          <w:kern w:val="0"/>
          <w:szCs w:val="21"/>
        </w:rPr>
      </w:pPr>
      <w:r>
        <w:rPr>
          <w:rFonts w:ascii="黑体" w:hAnsi="黑体" w:eastAsia="黑体" w:cs="Times New Roman"/>
          <w:kern w:val="0"/>
          <w:szCs w:val="21"/>
        </w:rPr>
        <w:t>6.5</w:t>
      </w:r>
      <w:r>
        <w:rPr>
          <w:rFonts w:ascii="宋体" w:hAnsi="黑体" w:cs="Times New Roman"/>
          <w:kern w:val="0"/>
          <w:szCs w:val="21"/>
        </w:rPr>
        <w:t xml:space="preserve"> </w:t>
      </w:r>
      <w:r>
        <w:rPr>
          <w:rFonts w:hint="eastAsia" w:ascii="宋体" w:hAnsi="黑体" w:cs="Times New Roman"/>
          <w:kern w:val="0"/>
          <w:szCs w:val="21"/>
        </w:rPr>
        <w:t>钻石筛查仪。</w:t>
      </w:r>
    </w:p>
    <w:p w14:paraId="45B89FDD">
      <w:pPr>
        <w:widowControl/>
        <w:outlineLvl w:val="2"/>
        <w:rPr>
          <w:rFonts w:ascii="宋体" w:hAnsi="黑体" w:cs="Times New Roman"/>
          <w:kern w:val="0"/>
          <w:szCs w:val="21"/>
        </w:rPr>
      </w:pPr>
      <w:r>
        <w:rPr>
          <w:rFonts w:ascii="黑体" w:hAnsi="黑体" w:eastAsia="黑体" w:cs="Times New Roman"/>
          <w:kern w:val="0"/>
          <w:szCs w:val="21"/>
        </w:rPr>
        <w:t>6.6</w:t>
      </w:r>
      <w:r>
        <w:rPr>
          <w:rFonts w:ascii="宋体" w:hAnsi="黑体" w:cs="Times New Roman"/>
          <w:kern w:val="0"/>
          <w:szCs w:val="21"/>
        </w:rPr>
        <w:t xml:space="preserve"> </w:t>
      </w:r>
      <w:r>
        <w:rPr>
          <w:rFonts w:hint="eastAsia" w:ascii="宋体" w:hAnsi="黑体" w:cs="Times New Roman"/>
          <w:kern w:val="0"/>
          <w:szCs w:val="21"/>
        </w:rPr>
        <w:t>贵金属成分检测仪。</w:t>
      </w:r>
    </w:p>
    <w:p w14:paraId="56D9B1D5">
      <w:pPr>
        <w:widowControl/>
        <w:ind w:left="105" w:hanging="105" w:hangingChars="50"/>
        <w:outlineLvl w:val="2"/>
        <w:rPr>
          <w:rFonts w:ascii="宋体" w:hAnsi="黑体" w:cs="Times New Roman"/>
          <w:kern w:val="0"/>
          <w:szCs w:val="21"/>
        </w:rPr>
      </w:pPr>
      <w:r>
        <w:rPr>
          <w:rFonts w:ascii="黑体" w:hAnsi="黑体" w:eastAsia="黑体" w:cs="Times New Roman"/>
          <w:kern w:val="0"/>
          <w:szCs w:val="21"/>
        </w:rPr>
        <w:t>6.7</w:t>
      </w:r>
      <w:r>
        <w:rPr>
          <w:rFonts w:ascii="宋体" w:hAnsi="黑体" w:cs="Times New Roman"/>
          <w:kern w:val="0"/>
          <w:szCs w:val="21"/>
        </w:rPr>
        <w:t xml:space="preserve"> </w:t>
      </w:r>
      <w:r>
        <w:rPr>
          <w:rFonts w:hint="eastAsia" w:ascii="宋体" w:hAnsi="黑体" w:cs="Times New Roman"/>
          <w:kern w:val="0"/>
          <w:szCs w:val="21"/>
        </w:rPr>
        <w:t>X射线光谱仪。</w:t>
      </w:r>
    </w:p>
    <w:p w14:paraId="78881C55">
      <w:pPr>
        <w:widowControl/>
        <w:ind w:left="105" w:hanging="105" w:hangingChars="50"/>
        <w:outlineLvl w:val="2"/>
        <w:rPr>
          <w:rFonts w:ascii="Segoe UI" w:hAnsi="Segoe UI" w:cs="Segoe UI"/>
          <w:color w:val="05073B"/>
          <w:kern w:val="0"/>
          <w:szCs w:val="21"/>
          <w:shd w:val="clear" w:color="auto" w:fill="FDFDFE"/>
        </w:rPr>
      </w:pPr>
      <w:r>
        <w:rPr>
          <w:rFonts w:ascii="Segoe UI" w:hAnsi="Segoe UI" w:cs="Segoe UI"/>
          <w:color w:val="05073B"/>
          <w:kern w:val="0"/>
          <w:szCs w:val="21"/>
          <w:shd w:val="clear" w:color="auto" w:fill="FDFDFE"/>
        </w:rPr>
        <w:t>6</w:t>
      </w:r>
      <w:r>
        <w:rPr>
          <w:rFonts w:ascii="宋体" w:hAnsi="宋体" w:cs="Times New Roman"/>
          <w:color w:val="05073B"/>
          <w:kern w:val="0"/>
          <w:szCs w:val="21"/>
          <w:shd w:val="clear" w:color="auto" w:fill="FDFDFE"/>
        </w:rPr>
        <w:t>.</w:t>
      </w:r>
      <w:r>
        <w:rPr>
          <w:rFonts w:ascii="Segoe UI" w:hAnsi="Segoe UI" w:cs="Segoe UI"/>
          <w:color w:val="05073B"/>
          <w:kern w:val="0"/>
          <w:szCs w:val="21"/>
          <w:shd w:val="clear" w:color="auto" w:fill="FDFDFE"/>
        </w:rPr>
        <w:t>8 红外光谱仪</w:t>
      </w:r>
      <w:r>
        <w:rPr>
          <w:rFonts w:hint="eastAsia" w:ascii="Segoe UI" w:hAnsi="Segoe UI" w:cs="Segoe UI"/>
          <w:color w:val="05073B"/>
          <w:kern w:val="0"/>
          <w:szCs w:val="21"/>
          <w:shd w:val="clear" w:color="auto" w:fill="FDFDFE"/>
        </w:rPr>
        <w:t>。</w:t>
      </w:r>
    </w:p>
    <w:p w14:paraId="45080A28">
      <w:pPr>
        <w:widowControl/>
        <w:ind w:left="105" w:hanging="105" w:hangingChars="50"/>
        <w:outlineLvl w:val="2"/>
        <w:rPr>
          <w:rFonts w:ascii="Segoe UI" w:hAnsi="Segoe UI" w:cs="Segoe UI"/>
          <w:color w:val="05073B"/>
          <w:kern w:val="0"/>
          <w:szCs w:val="21"/>
          <w:shd w:val="clear" w:color="auto" w:fill="FDFDFE"/>
        </w:rPr>
      </w:pPr>
      <w:r>
        <w:rPr>
          <w:rFonts w:ascii="Segoe UI" w:hAnsi="Segoe UI" w:cs="Segoe UI"/>
          <w:color w:val="05073B"/>
          <w:kern w:val="0"/>
          <w:szCs w:val="21"/>
          <w:shd w:val="clear" w:color="auto" w:fill="FDFDFE"/>
        </w:rPr>
        <w:t>6</w:t>
      </w:r>
      <w:r>
        <w:rPr>
          <w:rFonts w:ascii="宋体" w:hAnsi="宋体" w:cs="Times New Roman"/>
          <w:color w:val="05073B"/>
          <w:kern w:val="0"/>
          <w:szCs w:val="21"/>
          <w:shd w:val="clear" w:color="auto" w:fill="FDFDFE"/>
        </w:rPr>
        <w:t>.</w:t>
      </w:r>
      <w:r>
        <w:rPr>
          <w:rFonts w:ascii="Segoe UI" w:hAnsi="Segoe UI" w:cs="Segoe UI"/>
          <w:color w:val="05073B"/>
          <w:kern w:val="0"/>
          <w:szCs w:val="21"/>
          <w:shd w:val="clear" w:color="auto" w:fill="FDFDFE"/>
        </w:rPr>
        <w:t xml:space="preserve">9 </w:t>
      </w:r>
      <w:r>
        <w:rPr>
          <w:rFonts w:hint="eastAsia" w:ascii="Segoe UI" w:hAnsi="Segoe UI" w:cs="Segoe UI"/>
          <w:color w:val="05073B"/>
          <w:kern w:val="0"/>
          <w:szCs w:val="21"/>
          <w:shd w:val="clear" w:color="auto" w:fill="FDFDFE"/>
        </w:rPr>
        <w:t>紫</w:t>
      </w:r>
      <w:r>
        <w:rPr>
          <w:rFonts w:ascii="Segoe UI" w:hAnsi="Segoe UI" w:cs="Segoe UI"/>
          <w:color w:val="05073B"/>
          <w:kern w:val="0"/>
          <w:szCs w:val="21"/>
          <w:shd w:val="clear" w:color="auto" w:fill="FDFDFE"/>
        </w:rPr>
        <w:t>外光谱仪</w:t>
      </w:r>
      <w:r>
        <w:rPr>
          <w:rFonts w:hint="eastAsia" w:ascii="Segoe UI" w:hAnsi="Segoe UI" w:cs="Segoe UI"/>
          <w:color w:val="05073B"/>
          <w:kern w:val="0"/>
          <w:szCs w:val="21"/>
          <w:shd w:val="clear" w:color="auto" w:fill="FDFDFE"/>
        </w:rPr>
        <w:t>。</w:t>
      </w:r>
    </w:p>
    <w:p w14:paraId="607A81F0">
      <w:pPr>
        <w:pStyle w:val="107"/>
        <w:numPr>
          <w:ilvl w:val="0"/>
          <w:numId w:val="35"/>
        </w:numPr>
        <w:spacing w:before="240" w:after="240"/>
        <w:ind w:left="0" w:firstLine="0"/>
      </w:pPr>
      <w:bookmarkStart w:id="111" w:name="_Toc192946501"/>
      <w:r>
        <w:rPr>
          <w:rFonts w:hint="eastAsia"/>
        </w:rPr>
        <w:t>鉴定环境</w:t>
      </w:r>
      <w:bookmarkEnd w:id="111"/>
    </w:p>
    <w:p w14:paraId="56D7B31F">
      <w:pPr>
        <w:widowControl/>
        <w:ind w:firstLine="420" w:firstLineChars="200"/>
        <w:jc w:val="left"/>
        <w:rPr>
          <w:rFonts w:ascii="宋体" w:hAnsi="Times New Roman" w:cs="Times New Roman"/>
          <w:color w:val="000000"/>
          <w:kern w:val="0"/>
          <w:szCs w:val="21"/>
        </w:rPr>
      </w:pPr>
      <w:r>
        <w:rPr>
          <w:rFonts w:hint="eastAsia" w:ascii="宋体" w:hAnsi="Times New Roman" w:cs="Times New Roman"/>
          <w:color w:val="000000"/>
          <w:kern w:val="0"/>
          <w:szCs w:val="21"/>
        </w:rPr>
        <w:t>鉴定环境应在北面自然光线下或用符合CIE标准照度D65标准光源,显色指数不低于90，设有室内及桌面无死角摄像头及配套存储介质，用于证明鉴定全过程公正透明。背景为</w:t>
      </w:r>
      <w:r>
        <w:rPr>
          <w:rFonts w:ascii="宋体" w:hAnsi="Times New Roman" w:cs="Times New Roman"/>
          <w:color w:val="000000"/>
          <w:kern w:val="0"/>
          <w:szCs w:val="21"/>
        </w:rPr>
        <w:t>不反光的灰色或白色</w:t>
      </w:r>
      <w:r>
        <w:rPr>
          <w:rFonts w:hint="eastAsia" w:ascii="宋体" w:hAnsi="Times New Roman" w:cs="Times New Roman"/>
          <w:color w:val="000000"/>
          <w:kern w:val="0"/>
          <w:szCs w:val="21"/>
        </w:rPr>
        <w:t>。</w:t>
      </w:r>
    </w:p>
    <w:p w14:paraId="2BFF8B6C">
      <w:pPr>
        <w:pStyle w:val="107"/>
        <w:numPr>
          <w:ilvl w:val="0"/>
          <w:numId w:val="35"/>
        </w:numPr>
        <w:spacing w:before="240" w:after="240"/>
        <w:ind w:left="0" w:firstLine="0"/>
      </w:pPr>
      <w:bookmarkStart w:id="112" w:name="_Toc192946502"/>
      <w:r>
        <w:rPr>
          <w:rFonts w:hint="eastAsia"/>
        </w:rPr>
        <w:t>鉴定程序</w:t>
      </w:r>
      <w:bookmarkEnd w:id="112"/>
    </w:p>
    <w:p w14:paraId="05947BF0">
      <w:pPr>
        <w:pStyle w:val="233"/>
        <w:numPr>
          <w:ilvl w:val="0"/>
          <w:numId w:val="37"/>
        </w:numPr>
        <w:spacing w:before="120" w:beforeLines="50" w:after="120" w:afterLines="50"/>
        <w:outlineLvl w:val="2"/>
        <w:rPr>
          <w:rFonts w:ascii="黑体" w:hAnsi="黑体" w:eastAsia="黑体" w:cs="Times New Roman"/>
          <w:color w:val="000000"/>
          <w:sz w:val="21"/>
          <w:szCs w:val="21"/>
        </w:rPr>
      </w:pPr>
      <w:r>
        <w:rPr>
          <w:rFonts w:hint="eastAsia" w:ascii="黑体" w:hAnsi="黑体" w:eastAsia="黑体" w:cs="Times New Roman"/>
          <w:color w:val="000000"/>
          <w:sz w:val="21"/>
          <w:szCs w:val="21"/>
        </w:rPr>
        <w:t>对比样品的获取</w:t>
      </w:r>
    </w:p>
    <w:p w14:paraId="2C636787">
      <w:pPr>
        <w:widowControl/>
        <w:ind w:firstLine="525" w:firstLineChars="250"/>
        <w:jc w:val="left"/>
        <w:rPr>
          <w:rFonts w:ascii="宋体" w:hAnsi="Times New Roman" w:cs="Times New Roman"/>
          <w:color w:val="000000"/>
          <w:kern w:val="0"/>
          <w:szCs w:val="21"/>
        </w:rPr>
      </w:pPr>
      <w:r>
        <w:rPr>
          <w:rFonts w:hint="eastAsia" w:ascii="宋体" w:hAnsi="Times New Roman" w:cs="Times New Roman"/>
          <w:color w:val="000000"/>
          <w:kern w:val="0"/>
          <w:szCs w:val="21"/>
        </w:rPr>
        <w:t>品牌饰品作为对比样品</w:t>
      </w:r>
      <w:r>
        <w:rPr>
          <w:rFonts w:hint="eastAsia" w:cs="Times New Roman"/>
          <w:color w:val="000000"/>
          <w:szCs w:val="21"/>
        </w:rPr>
        <w:t>。如无法获得实物，则依次选用品牌信息文件、品牌调研文</w:t>
      </w:r>
      <w:r>
        <w:rPr>
          <w:rFonts w:hint="eastAsia" w:ascii="宋体" w:hAnsi="Times New Roman" w:cs="Times New Roman"/>
          <w:color w:val="000000"/>
          <w:kern w:val="0"/>
          <w:szCs w:val="21"/>
        </w:rPr>
        <w:t>件作为对比样品。</w:t>
      </w:r>
    </w:p>
    <w:p w14:paraId="7C876880">
      <w:pPr>
        <w:pStyle w:val="233"/>
        <w:numPr>
          <w:ilvl w:val="0"/>
          <w:numId w:val="37"/>
        </w:numPr>
        <w:spacing w:before="120" w:beforeLines="50" w:after="120" w:afterLines="50"/>
        <w:outlineLvl w:val="2"/>
        <w:rPr>
          <w:rFonts w:ascii="黑体" w:hAnsi="黑体" w:eastAsia="黑体" w:cs="Times New Roman"/>
          <w:color w:val="000000"/>
          <w:sz w:val="21"/>
          <w:szCs w:val="21"/>
        </w:rPr>
      </w:pPr>
      <w:r>
        <w:rPr>
          <w:rFonts w:ascii="黑体" w:hAnsi="黑体" w:eastAsia="黑体" w:cs="Times New Roman"/>
          <w:color w:val="000000"/>
          <w:sz w:val="21"/>
          <w:szCs w:val="21"/>
        </w:rPr>
        <w:t>送检样品使用情况分析</w:t>
      </w:r>
    </w:p>
    <w:p w14:paraId="71C0FB1F">
      <w:pPr>
        <w:widowControl/>
        <w:ind w:firstLine="420" w:firstLineChars="200"/>
        <w:jc w:val="left"/>
        <w:rPr>
          <w:rFonts w:ascii="宋体" w:hAnsi="Times New Roman" w:cs="Times New Roman"/>
          <w:color w:val="000000"/>
          <w:kern w:val="0"/>
          <w:szCs w:val="21"/>
        </w:rPr>
      </w:pPr>
      <w:r>
        <w:rPr>
          <w:rFonts w:ascii="宋体" w:hAnsi="Times New Roman" w:cs="Times New Roman"/>
          <w:color w:val="000000"/>
          <w:kern w:val="0"/>
          <w:szCs w:val="21"/>
        </w:rPr>
        <w:t>对于已使用过的送检样品，根据</w:t>
      </w:r>
      <w:r>
        <w:rPr>
          <w:rFonts w:hint="eastAsia" w:ascii="宋体" w:hAnsi="Times New Roman" w:cs="Times New Roman"/>
          <w:color w:val="000000"/>
          <w:kern w:val="0"/>
          <w:szCs w:val="21"/>
        </w:rPr>
        <w:t>划痕、磨损、氧化变色、宝石松动或损坏、维修痕迹如</w:t>
      </w:r>
      <w:r>
        <w:rPr>
          <w:rFonts w:ascii="宋体" w:hAnsi="Times New Roman" w:cs="Times New Roman"/>
          <w:color w:val="000000"/>
          <w:kern w:val="0"/>
          <w:szCs w:val="21"/>
        </w:rPr>
        <w:t>焊接点、</w:t>
      </w:r>
      <w:r>
        <w:rPr>
          <w:rFonts w:hint="eastAsia" w:ascii="宋体" w:hAnsi="Times New Roman" w:cs="Times New Roman"/>
          <w:color w:val="000000"/>
          <w:kern w:val="0"/>
          <w:szCs w:val="21"/>
        </w:rPr>
        <w:t>微</w:t>
      </w:r>
      <w:r>
        <w:rPr>
          <w:rFonts w:ascii="宋体" w:hAnsi="Times New Roman" w:cs="Times New Roman"/>
          <w:color w:val="000000"/>
          <w:kern w:val="0"/>
          <w:szCs w:val="21"/>
        </w:rPr>
        <w:t>小的刮痕或重新抛光的迹象，鉴定人员应充分考虑其使用情况，在与比对样品进行比对时进行合理分析。</w:t>
      </w:r>
    </w:p>
    <w:p w14:paraId="136EC16F">
      <w:pPr>
        <w:pStyle w:val="233"/>
        <w:numPr>
          <w:ilvl w:val="0"/>
          <w:numId w:val="37"/>
        </w:numPr>
        <w:spacing w:before="120" w:beforeLines="50" w:after="120" w:afterLines="50"/>
        <w:outlineLvl w:val="2"/>
        <w:rPr>
          <w:rFonts w:ascii="黑体" w:hAnsi="黑体" w:eastAsia="黑体" w:cs="Times New Roman"/>
          <w:color w:val="000000"/>
          <w:sz w:val="21"/>
          <w:szCs w:val="21"/>
        </w:rPr>
      </w:pPr>
      <w:r>
        <w:rPr>
          <w:rFonts w:hint="eastAsia" w:ascii="黑体" w:hAnsi="黑体" w:eastAsia="黑体" w:cs="Times New Roman"/>
          <w:color w:val="000000"/>
          <w:sz w:val="21"/>
          <w:szCs w:val="21"/>
        </w:rPr>
        <w:t>送检样品鉴定流程</w:t>
      </w:r>
    </w:p>
    <w:p w14:paraId="1AFF8BD4">
      <w:pPr>
        <w:ind w:firstLine="420" w:firstLineChars="200"/>
        <w:rPr>
          <w:rFonts w:ascii="宋体" w:hAnsi="Times New Roman" w:cs="Times New Roman"/>
          <w:kern w:val="0"/>
          <w:szCs w:val="20"/>
        </w:rPr>
      </w:pPr>
      <w:r>
        <w:rPr>
          <w:rFonts w:hint="eastAsia" w:ascii="宋体" w:hAnsi="Times New Roman" w:cs="Times New Roman"/>
          <w:kern w:val="0"/>
          <w:szCs w:val="20"/>
        </w:rPr>
        <w:t>鉴定流程见图1。</w:t>
      </w:r>
    </w:p>
    <w:p w14:paraId="58A408F3">
      <w:pPr>
        <w:ind w:firstLine="420" w:firstLineChars="200"/>
        <w:rPr>
          <w:rFonts w:ascii="宋体" w:hAnsi="Times New Roman" w:cs="Times New Roman"/>
          <w:kern w:val="0"/>
          <w:szCs w:val="20"/>
        </w:rPr>
      </w:pPr>
      <w:r>
        <w:rPr>
          <w:rFonts w:ascii="宋体" w:hAnsi="Times New Roman" w:cs="Times New Roman"/>
          <w:kern w:val="0"/>
          <w:szCs w:val="20"/>
        </w:rPr>
        <w:t>在8.4条～8.10条的鉴定项目中，如表1～表7</w:t>
      </w:r>
      <w:r>
        <w:rPr>
          <w:rFonts w:hint="eastAsia" w:ascii="宋体" w:hAnsi="Times New Roman" w:cs="Times New Roman"/>
          <w:kern w:val="0"/>
          <w:szCs w:val="20"/>
        </w:rPr>
        <w:t>中某表</w:t>
      </w:r>
      <w:r>
        <w:rPr>
          <w:rFonts w:ascii="宋体" w:hAnsi="Times New Roman" w:cs="Times New Roman"/>
          <w:kern w:val="0"/>
          <w:szCs w:val="20"/>
        </w:rPr>
        <w:t>不适用送检样品，则标注不适用。</w:t>
      </w:r>
    </w:p>
    <w:p w14:paraId="27F83050">
      <w:pPr>
        <w:ind w:firstLine="420" w:firstLineChars="200"/>
        <w:jc w:val="center"/>
        <w:rPr>
          <w:rFonts w:ascii="宋体" w:hAnsi="Times New Roman" w:cs="Times New Roman"/>
          <w:kern w:val="0"/>
          <w:szCs w:val="20"/>
        </w:rPr>
      </w:pPr>
      <w:r>
        <w:rPr>
          <w:rFonts w:ascii="宋体" w:hAnsi="Times New Roman" w:cs="Times New Roman"/>
          <w:kern w:val="0"/>
          <w:szCs w:val="20"/>
        </w:rPr>
        <w:drawing>
          <wp:inline distT="0" distB="0" distL="0" distR="0">
            <wp:extent cx="4326890" cy="4559935"/>
            <wp:effectExtent l="0" t="0" r="3810" b="0"/>
            <wp:docPr id="133029637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0296377" name="图片 1"/>
                    <pic:cNvPicPr>
                      <a:picLocks noChangeAspect="1"/>
                    </pic:cNvPicPr>
                  </pic:nvPicPr>
                  <pic:blipFill>
                    <a:blip r:embed="rId10"/>
                    <a:stretch>
                      <a:fillRect/>
                    </a:stretch>
                  </pic:blipFill>
                  <pic:spPr>
                    <a:xfrm>
                      <a:off x="0" y="0"/>
                      <a:ext cx="4340398" cy="4574725"/>
                    </a:xfrm>
                    <a:prstGeom prst="rect">
                      <a:avLst/>
                    </a:prstGeom>
                  </pic:spPr>
                </pic:pic>
              </a:graphicData>
            </a:graphic>
          </wp:inline>
        </w:drawing>
      </w:r>
    </w:p>
    <w:p w14:paraId="77624553">
      <w:pPr>
        <w:rPr>
          <w:rFonts w:ascii="宋体" w:hAnsi="Times New Roman" w:cs="Times New Roman"/>
          <w:kern w:val="0"/>
          <w:szCs w:val="20"/>
        </w:rPr>
      </w:pPr>
    </w:p>
    <w:p w14:paraId="100A804F">
      <w:pPr>
        <w:ind w:firstLine="420" w:firstLineChars="200"/>
        <w:jc w:val="center"/>
        <w:rPr>
          <w:rFonts w:ascii="黑体" w:hAnsi="黑体" w:eastAsia="黑体" w:cs="Times New Roman"/>
          <w:kern w:val="0"/>
          <w:szCs w:val="20"/>
        </w:rPr>
      </w:pPr>
      <w:r>
        <w:rPr>
          <w:rFonts w:ascii="黑体" w:hAnsi="黑体" w:eastAsia="黑体" w:cs="Times New Roman"/>
          <w:kern w:val="0"/>
          <w:szCs w:val="20"/>
        </w:rPr>
        <w:t>图1 鉴定流程</w:t>
      </w:r>
    </w:p>
    <w:p w14:paraId="30294F72">
      <w:pPr>
        <w:pStyle w:val="233"/>
        <w:numPr>
          <w:ilvl w:val="0"/>
          <w:numId w:val="37"/>
        </w:numPr>
        <w:spacing w:before="120" w:beforeLines="50" w:after="120" w:afterLines="50"/>
        <w:outlineLvl w:val="2"/>
        <w:rPr>
          <w:rFonts w:ascii="黑体" w:hAnsi="黑体" w:eastAsia="黑体" w:cs="Times New Roman"/>
          <w:color w:val="000000"/>
          <w:sz w:val="21"/>
          <w:szCs w:val="21"/>
        </w:rPr>
      </w:pPr>
      <w:r>
        <w:rPr>
          <w:rFonts w:hint="eastAsia" w:ascii="黑体" w:hAnsi="黑体" w:eastAsia="黑体" w:cs="Times New Roman"/>
          <w:color w:val="000000"/>
          <w:sz w:val="21"/>
          <w:szCs w:val="21"/>
        </w:rPr>
        <w:t>鉴定证书信息检测</w:t>
      </w:r>
    </w:p>
    <w:p w14:paraId="3BD98C73">
      <w:pPr>
        <w:widowControl/>
        <w:ind w:firstLine="420" w:firstLineChars="200"/>
        <w:jc w:val="left"/>
        <w:rPr>
          <w:rFonts w:ascii="宋体" w:hAnsi="Times New Roman" w:cs="Times New Roman"/>
          <w:color w:val="000000"/>
          <w:kern w:val="0"/>
          <w:szCs w:val="21"/>
        </w:rPr>
      </w:pPr>
      <w:r>
        <w:rPr>
          <w:rFonts w:hint="eastAsia" w:ascii="宋体" w:hAnsi="Times New Roman" w:cs="Times New Roman"/>
          <w:color w:val="000000"/>
          <w:kern w:val="0"/>
          <w:szCs w:val="21"/>
        </w:rPr>
        <w:t>根据对比样品，对送检样品的鉴定证书按表</w:t>
      </w:r>
      <w:r>
        <w:rPr>
          <w:rFonts w:ascii="宋体" w:hAnsi="Times New Roman" w:cs="Times New Roman"/>
          <w:color w:val="000000"/>
          <w:kern w:val="0"/>
          <w:szCs w:val="21"/>
        </w:rPr>
        <w:t>1</w:t>
      </w:r>
      <w:r>
        <w:rPr>
          <w:rFonts w:hint="eastAsia" w:ascii="宋体" w:hAnsi="Times New Roman" w:cs="Times New Roman"/>
          <w:color w:val="000000"/>
          <w:kern w:val="0"/>
          <w:szCs w:val="21"/>
        </w:rPr>
        <w:t>进行鉴定。</w:t>
      </w:r>
    </w:p>
    <w:p w14:paraId="23EDEEEC">
      <w:pPr>
        <w:widowControl/>
        <w:spacing w:before="120" w:beforeLines="50" w:after="120" w:afterLines="50"/>
        <w:ind w:left="709" w:hanging="709"/>
        <w:jc w:val="center"/>
        <w:rPr>
          <w:rFonts w:ascii="黑体" w:hAnsi="黑体" w:eastAsia="黑体" w:cs="Times New Roman"/>
          <w:color w:val="000000"/>
          <w:kern w:val="0"/>
          <w:sz w:val="18"/>
          <w:szCs w:val="18"/>
        </w:rPr>
      </w:pPr>
      <w:r>
        <w:rPr>
          <w:rFonts w:hint="eastAsia" w:ascii="黑体" w:hAnsi="黑体" w:eastAsia="黑体" w:cs="Times New Roman"/>
          <w:color w:val="000000"/>
          <w:kern w:val="0"/>
          <w:sz w:val="18"/>
          <w:szCs w:val="18"/>
        </w:rPr>
        <w:t>表</w:t>
      </w:r>
      <w:r>
        <w:rPr>
          <w:rFonts w:ascii="黑体" w:hAnsi="黑体" w:eastAsia="黑体" w:cs="Times New Roman"/>
          <w:color w:val="000000"/>
          <w:kern w:val="0"/>
          <w:sz w:val="18"/>
          <w:szCs w:val="18"/>
        </w:rPr>
        <w:t xml:space="preserve">1 </w:t>
      </w:r>
      <w:r>
        <w:rPr>
          <w:rFonts w:hint="eastAsia" w:ascii="黑体" w:hAnsi="黑体" w:eastAsia="黑体" w:cs="Times New Roman"/>
          <w:color w:val="000000"/>
          <w:kern w:val="0"/>
          <w:sz w:val="18"/>
          <w:szCs w:val="18"/>
        </w:rPr>
        <w:t>鉴定证书信息检测</w:t>
      </w:r>
    </w:p>
    <w:tbl>
      <w:tblPr>
        <w:tblStyle w:val="29"/>
        <w:tblW w:w="93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53"/>
        <w:gridCol w:w="1637"/>
        <w:gridCol w:w="1458"/>
        <w:gridCol w:w="1898"/>
        <w:gridCol w:w="1619"/>
        <w:gridCol w:w="1579"/>
      </w:tblGrid>
      <w:tr w14:paraId="4F7147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53" w:type="dxa"/>
            <w:vAlign w:val="center"/>
          </w:tcPr>
          <w:p w14:paraId="79F390B9">
            <w:pPr>
              <w:widowControl/>
              <w:jc w:val="center"/>
              <w:rPr>
                <w:rFonts w:ascii="宋体" w:hAnsi="宋体" w:cs="宋体"/>
                <w:color w:val="000000"/>
                <w:kern w:val="0"/>
                <w:sz w:val="18"/>
                <w:szCs w:val="18"/>
              </w:rPr>
            </w:pPr>
            <w:r>
              <w:rPr>
                <w:rFonts w:hint="eastAsia" w:ascii="宋体" w:hAnsi="宋体" w:cs="宋体"/>
                <w:color w:val="000000"/>
                <w:kern w:val="0"/>
                <w:sz w:val="18"/>
                <w:szCs w:val="18"/>
              </w:rPr>
              <w:t>鉴定证书信息鉴定</w:t>
            </w:r>
          </w:p>
        </w:tc>
        <w:tc>
          <w:tcPr>
            <w:tcW w:w="1637" w:type="dxa"/>
            <w:vAlign w:val="center"/>
          </w:tcPr>
          <w:p w14:paraId="100403DE">
            <w:pPr>
              <w:widowControl/>
              <w:jc w:val="center"/>
              <w:rPr>
                <w:rFonts w:ascii="宋体" w:hAnsi="宋体" w:cs="宋体"/>
                <w:color w:val="000000"/>
                <w:kern w:val="0"/>
                <w:sz w:val="18"/>
                <w:szCs w:val="18"/>
              </w:rPr>
            </w:pPr>
            <w:r>
              <w:rPr>
                <w:rFonts w:hint="eastAsia" w:ascii="宋体" w:hAnsi="宋体" w:cs="宋体"/>
                <w:color w:val="000000"/>
                <w:kern w:val="0"/>
                <w:sz w:val="18"/>
                <w:szCs w:val="18"/>
              </w:rPr>
              <w:t>机构资质和</w:t>
            </w:r>
            <w:r>
              <w:rPr>
                <w:rFonts w:ascii="宋体" w:hAnsi="宋体" w:cs="宋体"/>
                <w:color w:val="000000"/>
                <w:kern w:val="0"/>
                <w:sz w:val="18"/>
                <w:szCs w:val="18"/>
              </w:rPr>
              <w:t>资质认证标志</w:t>
            </w:r>
          </w:p>
        </w:tc>
        <w:tc>
          <w:tcPr>
            <w:tcW w:w="1458" w:type="dxa"/>
            <w:vAlign w:val="center"/>
          </w:tcPr>
          <w:p w14:paraId="05151C77">
            <w:pPr>
              <w:widowControl/>
              <w:jc w:val="center"/>
              <w:rPr>
                <w:rFonts w:ascii="宋体" w:hAnsi="宋体" w:cs="宋体"/>
                <w:color w:val="000000"/>
                <w:kern w:val="0"/>
                <w:sz w:val="18"/>
                <w:szCs w:val="18"/>
              </w:rPr>
            </w:pPr>
            <w:r>
              <w:rPr>
                <w:rFonts w:hint="eastAsia" w:ascii="宋体" w:hAnsi="宋体" w:cs="宋体"/>
                <w:color w:val="000000"/>
                <w:kern w:val="0"/>
                <w:sz w:val="18"/>
                <w:szCs w:val="18"/>
              </w:rPr>
              <w:t>机构信息是否完整</w:t>
            </w:r>
          </w:p>
        </w:tc>
        <w:tc>
          <w:tcPr>
            <w:tcW w:w="1898" w:type="dxa"/>
            <w:vAlign w:val="center"/>
          </w:tcPr>
          <w:p w14:paraId="15F1B948">
            <w:pPr>
              <w:widowControl/>
              <w:jc w:val="center"/>
              <w:rPr>
                <w:rFonts w:ascii="宋体" w:hAnsi="宋体" w:cs="宋体"/>
                <w:color w:val="000000"/>
                <w:kern w:val="0"/>
                <w:sz w:val="18"/>
                <w:szCs w:val="18"/>
              </w:rPr>
            </w:pPr>
            <w:r>
              <w:rPr>
                <w:rFonts w:hint="eastAsia" w:ascii="宋体" w:hAnsi="宋体" w:cs="宋体"/>
                <w:color w:val="000000"/>
                <w:kern w:val="0"/>
                <w:sz w:val="18"/>
                <w:szCs w:val="18"/>
              </w:rPr>
              <w:t>送检样品与证书信息描述</w:t>
            </w:r>
          </w:p>
        </w:tc>
        <w:tc>
          <w:tcPr>
            <w:tcW w:w="1619" w:type="dxa"/>
            <w:vAlign w:val="center"/>
          </w:tcPr>
          <w:p w14:paraId="755DAD89">
            <w:pPr>
              <w:widowControl/>
              <w:jc w:val="center"/>
              <w:rPr>
                <w:rFonts w:ascii="宋体" w:hAnsi="宋体" w:cs="宋体"/>
                <w:color w:val="000000"/>
                <w:kern w:val="0"/>
                <w:sz w:val="18"/>
                <w:szCs w:val="18"/>
              </w:rPr>
            </w:pPr>
            <w:r>
              <w:rPr>
                <w:rFonts w:hint="eastAsia" w:ascii="宋体" w:hAnsi="宋体" w:cs="宋体"/>
                <w:color w:val="000000"/>
                <w:kern w:val="0"/>
                <w:sz w:val="18"/>
                <w:szCs w:val="18"/>
              </w:rPr>
              <w:t>证书编号</w:t>
            </w:r>
          </w:p>
        </w:tc>
        <w:tc>
          <w:tcPr>
            <w:tcW w:w="1579" w:type="dxa"/>
            <w:vAlign w:val="center"/>
          </w:tcPr>
          <w:p w14:paraId="25D74B52">
            <w:pPr>
              <w:widowControl/>
              <w:jc w:val="center"/>
              <w:rPr>
                <w:rFonts w:ascii="宋体" w:hAnsi="宋体" w:cs="宋体"/>
                <w:color w:val="000000"/>
                <w:kern w:val="0"/>
                <w:sz w:val="18"/>
                <w:szCs w:val="18"/>
              </w:rPr>
            </w:pPr>
            <w:r>
              <w:rPr>
                <w:rFonts w:ascii="宋体" w:hAnsi="宋体" w:cs="宋体"/>
                <w:color w:val="000000"/>
                <w:kern w:val="0"/>
                <w:sz w:val="18"/>
                <w:szCs w:val="18"/>
              </w:rPr>
              <w:t>签名与盖章</w:t>
            </w:r>
          </w:p>
        </w:tc>
      </w:tr>
      <w:tr w14:paraId="0E265E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53" w:type="dxa"/>
            <w:vAlign w:val="center"/>
          </w:tcPr>
          <w:p w14:paraId="47D0FAFA">
            <w:pPr>
              <w:widowControl/>
              <w:jc w:val="center"/>
              <w:rPr>
                <w:rFonts w:ascii="宋体" w:hAnsi="宋体" w:cs="宋体"/>
                <w:color w:val="000000"/>
                <w:kern w:val="0"/>
                <w:sz w:val="18"/>
                <w:szCs w:val="18"/>
              </w:rPr>
            </w:pPr>
            <w:r>
              <w:rPr>
                <w:rFonts w:hint="eastAsia" w:ascii="宋体" w:hAnsi="宋体" w:cs="宋体"/>
                <w:color w:val="000000"/>
                <w:kern w:val="0"/>
                <w:sz w:val="18"/>
                <w:szCs w:val="18"/>
              </w:rPr>
              <w:t>鉴定结果</w:t>
            </w:r>
          </w:p>
        </w:tc>
        <w:tc>
          <w:tcPr>
            <w:tcW w:w="1637" w:type="dxa"/>
            <w:vAlign w:val="center"/>
          </w:tcPr>
          <w:p w14:paraId="37391DDD">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是</w:t>
            </w:r>
          </w:p>
          <w:p w14:paraId="253B8758">
            <w:pPr>
              <w:widowControl/>
              <w:jc w:val="left"/>
              <w:rPr>
                <w:rFonts w:ascii="宋体" w:hAnsi="宋体" w:cs="宋体"/>
                <w:kern w:val="0"/>
                <w:sz w:val="18"/>
                <w:szCs w:val="18"/>
              </w:rPr>
            </w:pPr>
            <w:r>
              <w:rPr>
                <w:rFonts w:hint="eastAsia" w:ascii="宋体" w:hAnsi="宋体" w:cs="宋体"/>
                <w:color w:val="000000"/>
                <w:kern w:val="0"/>
                <w:sz w:val="18"/>
                <w:szCs w:val="18"/>
              </w:rPr>
              <w:sym w:font="Wingdings 2" w:char="00A3"/>
            </w:r>
            <w:r>
              <w:rPr>
                <w:rFonts w:hint="eastAsia" w:ascii="宋体" w:hAnsi="宋体" w:cs="宋体"/>
                <w:kern w:val="0"/>
                <w:sz w:val="18"/>
                <w:szCs w:val="18"/>
              </w:rPr>
              <w:t>否</w:t>
            </w:r>
          </w:p>
          <w:p w14:paraId="77C40F8F">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无法确定</w:t>
            </w:r>
          </w:p>
        </w:tc>
        <w:tc>
          <w:tcPr>
            <w:tcW w:w="1458" w:type="dxa"/>
            <w:vAlign w:val="center"/>
          </w:tcPr>
          <w:p w14:paraId="3795E3ED">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是</w:t>
            </w:r>
          </w:p>
          <w:p w14:paraId="0C55C20F">
            <w:pPr>
              <w:widowControl/>
              <w:jc w:val="left"/>
              <w:rPr>
                <w:rFonts w:ascii="宋体" w:hAnsi="宋体" w:cs="宋体"/>
                <w:kern w:val="0"/>
                <w:sz w:val="18"/>
                <w:szCs w:val="18"/>
              </w:rPr>
            </w:pPr>
            <w:r>
              <w:rPr>
                <w:rFonts w:hint="eastAsia" w:ascii="宋体" w:hAnsi="宋体" w:cs="宋体"/>
                <w:color w:val="000000"/>
                <w:kern w:val="0"/>
                <w:sz w:val="18"/>
                <w:szCs w:val="18"/>
              </w:rPr>
              <w:sym w:font="Wingdings 2" w:char="00A3"/>
            </w:r>
            <w:r>
              <w:rPr>
                <w:rFonts w:hint="eastAsia" w:ascii="宋体" w:hAnsi="宋体" w:cs="宋体"/>
                <w:kern w:val="0"/>
                <w:sz w:val="18"/>
                <w:szCs w:val="18"/>
              </w:rPr>
              <w:t>否</w:t>
            </w:r>
          </w:p>
          <w:p w14:paraId="51026D73">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无法确定</w:t>
            </w:r>
          </w:p>
        </w:tc>
        <w:tc>
          <w:tcPr>
            <w:tcW w:w="1898" w:type="dxa"/>
          </w:tcPr>
          <w:p w14:paraId="652DB0DD">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是</w:t>
            </w:r>
          </w:p>
          <w:p w14:paraId="24E6F131">
            <w:pPr>
              <w:widowControl/>
              <w:jc w:val="left"/>
              <w:rPr>
                <w:rFonts w:ascii="宋体" w:hAnsi="宋体" w:cs="宋体"/>
                <w:kern w:val="0"/>
                <w:sz w:val="18"/>
                <w:szCs w:val="18"/>
              </w:rPr>
            </w:pPr>
            <w:r>
              <w:rPr>
                <w:rFonts w:hint="eastAsia" w:ascii="宋体" w:hAnsi="宋体" w:cs="宋体"/>
                <w:color w:val="000000"/>
                <w:kern w:val="0"/>
                <w:sz w:val="18"/>
                <w:szCs w:val="18"/>
              </w:rPr>
              <w:sym w:font="Wingdings 2" w:char="00A3"/>
            </w:r>
            <w:r>
              <w:rPr>
                <w:rFonts w:hint="eastAsia" w:ascii="宋体" w:hAnsi="宋体" w:cs="宋体"/>
                <w:kern w:val="0"/>
                <w:sz w:val="18"/>
                <w:szCs w:val="18"/>
              </w:rPr>
              <w:t>否</w:t>
            </w:r>
          </w:p>
          <w:p w14:paraId="4ABFB5A6">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无法确定</w:t>
            </w:r>
          </w:p>
        </w:tc>
        <w:tc>
          <w:tcPr>
            <w:tcW w:w="1619" w:type="dxa"/>
          </w:tcPr>
          <w:p w14:paraId="37A87AC5">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是</w:t>
            </w:r>
          </w:p>
          <w:p w14:paraId="557AACC2">
            <w:pPr>
              <w:widowControl/>
              <w:jc w:val="left"/>
              <w:rPr>
                <w:rFonts w:ascii="宋体" w:hAnsi="宋体" w:cs="宋体"/>
                <w:kern w:val="0"/>
                <w:sz w:val="18"/>
                <w:szCs w:val="18"/>
              </w:rPr>
            </w:pPr>
            <w:r>
              <w:rPr>
                <w:rFonts w:hint="eastAsia" w:ascii="宋体" w:hAnsi="宋体" w:cs="宋体"/>
                <w:color w:val="000000"/>
                <w:kern w:val="0"/>
                <w:sz w:val="18"/>
                <w:szCs w:val="18"/>
              </w:rPr>
              <w:sym w:font="Wingdings 2" w:char="00A3"/>
            </w:r>
            <w:r>
              <w:rPr>
                <w:rFonts w:hint="eastAsia" w:ascii="宋体" w:hAnsi="宋体" w:cs="宋体"/>
                <w:kern w:val="0"/>
                <w:sz w:val="18"/>
                <w:szCs w:val="18"/>
              </w:rPr>
              <w:t>否</w:t>
            </w:r>
          </w:p>
          <w:p w14:paraId="5E427C78">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无法确定</w:t>
            </w:r>
          </w:p>
        </w:tc>
        <w:tc>
          <w:tcPr>
            <w:tcW w:w="1579" w:type="dxa"/>
          </w:tcPr>
          <w:p w14:paraId="37ADFA4F">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是</w:t>
            </w:r>
          </w:p>
          <w:p w14:paraId="28688610">
            <w:pPr>
              <w:widowControl/>
              <w:jc w:val="left"/>
              <w:rPr>
                <w:rFonts w:ascii="宋体" w:hAnsi="宋体" w:cs="宋体"/>
                <w:kern w:val="0"/>
                <w:sz w:val="18"/>
                <w:szCs w:val="18"/>
              </w:rPr>
            </w:pPr>
            <w:r>
              <w:rPr>
                <w:rFonts w:hint="eastAsia" w:ascii="宋体" w:hAnsi="宋体" w:cs="宋体"/>
                <w:color w:val="000000"/>
                <w:kern w:val="0"/>
                <w:sz w:val="18"/>
                <w:szCs w:val="18"/>
              </w:rPr>
              <w:sym w:font="Wingdings 2" w:char="00A3"/>
            </w:r>
            <w:r>
              <w:rPr>
                <w:rFonts w:hint="eastAsia" w:ascii="宋体" w:hAnsi="宋体" w:cs="宋体"/>
                <w:kern w:val="0"/>
                <w:sz w:val="18"/>
                <w:szCs w:val="18"/>
              </w:rPr>
              <w:t>否</w:t>
            </w:r>
          </w:p>
          <w:p w14:paraId="4CEBD3BA">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无法确定</w:t>
            </w:r>
          </w:p>
        </w:tc>
      </w:tr>
      <w:tr w14:paraId="49708C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53" w:type="dxa"/>
            <w:vAlign w:val="center"/>
          </w:tcPr>
          <w:p w14:paraId="70F451D3">
            <w:pPr>
              <w:widowControl/>
              <w:jc w:val="center"/>
              <w:rPr>
                <w:rFonts w:ascii="宋体" w:hAnsi="宋体" w:cs="宋体"/>
                <w:color w:val="000000"/>
                <w:kern w:val="0"/>
                <w:sz w:val="18"/>
                <w:szCs w:val="18"/>
              </w:rPr>
            </w:pPr>
            <w:r>
              <w:rPr>
                <w:rFonts w:hint="eastAsia" w:ascii="宋体" w:hAnsi="宋体" w:cs="宋体"/>
                <w:color w:val="000000"/>
                <w:kern w:val="0"/>
                <w:sz w:val="18"/>
                <w:szCs w:val="18"/>
              </w:rPr>
              <w:t>鉴定证书鉴定结论</w:t>
            </w:r>
          </w:p>
        </w:tc>
        <w:tc>
          <w:tcPr>
            <w:tcW w:w="8191" w:type="dxa"/>
            <w:gridSpan w:val="5"/>
          </w:tcPr>
          <w:p w14:paraId="41A689C8">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ascii="宋体" w:hAnsi="宋体" w:cs="宋体"/>
                <w:color w:val="000000"/>
                <w:kern w:val="0"/>
                <w:sz w:val="18"/>
                <w:szCs w:val="18"/>
              </w:rPr>
              <w:t xml:space="preserve"> 符合品牌饰品特征（经实物鉴定）</w:t>
            </w:r>
          </w:p>
          <w:p w14:paraId="2D0099BF">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 xml:space="preserve"> </w:t>
            </w:r>
            <w:r>
              <w:rPr>
                <w:rFonts w:ascii="宋体" w:hAnsi="宋体" w:cs="宋体"/>
                <w:color w:val="000000"/>
                <w:kern w:val="0"/>
                <w:sz w:val="18"/>
                <w:szCs w:val="18"/>
              </w:rPr>
              <w:t>不符合品牌饰品特征（经实物鉴定）</w:t>
            </w:r>
          </w:p>
          <w:p w14:paraId="16F17DB7">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ascii="宋体" w:hAnsi="宋体" w:cs="宋体"/>
                <w:color w:val="000000"/>
                <w:kern w:val="0"/>
                <w:sz w:val="18"/>
                <w:szCs w:val="18"/>
              </w:rPr>
              <w:t xml:space="preserve"> 无法判断</w:t>
            </w:r>
          </w:p>
        </w:tc>
      </w:tr>
    </w:tbl>
    <w:p w14:paraId="7DC72AB9">
      <w:pPr>
        <w:pStyle w:val="233"/>
        <w:numPr>
          <w:ilvl w:val="0"/>
          <w:numId w:val="37"/>
        </w:numPr>
        <w:spacing w:before="120" w:beforeLines="50" w:after="120" w:afterLines="50"/>
        <w:outlineLvl w:val="2"/>
        <w:rPr>
          <w:rFonts w:ascii="黑体" w:hAnsi="黑体" w:eastAsia="黑体" w:cs="Times New Roman"/>
          <w:color w:val="000000"/>
          <w:sz w:val="21"/>
          <w:szCs w:val="21"/>
        </w:rPr>
      </w:pPr>
      <w:r>
        <w:rPr>
          <w:rFonts w:hint="eastAsia" w:ascii="黑体" w:hAnsi="黑体" w:eastAsia="黑体" w:cs="Times New Roman"/>
          <w:color w:val="000000"/>
          <w:sz w:val="21"/>
          <w:szCs w:val="21"/>
        </w:rPr>
        <w:t>产品刻字与标志信息检测</w:t>
      </w:r>
    </w:p>
    <w:p w14:paraId="5CBEFD35">
      <w:pPr>
        <w:widowControl/>
        <w:ind w:firstLine="424" w:firstLineChars="202"/>
        <w:jc w:val="left"/>
        <w:rPr>
          <w:rFonts w:ascii="PingFang-SC-Regular" w:hAnsi="PingFang-SC-Regular" w:cs="Segoe UI"/>
          <w:color w:val="05073B"/>
          <w:kern w:val="0"/>
          <w:szCs w:val="21"/>
        </w:rPr>
      </w:pPr>
      <w:r>
        <w:rPr>
          <w:rFonts w:hint="eastAsia" w:ascii="PingFang-SC-Regular" w:hAnsi="PingFang-SC-Regular" w:cs="Segoe UI"/>
          <w:color w:val="05073B"/>
          <w:kern w:val="0"/>
          <w:szCs w:val="21"/>
        </w:rPr>
        <w:t>品牌饰品</w:t>
      </w:r>
      <w:r>
        <w:rPr>
          <w:rFonts w:ascii="PingFang-SC-Regular" w:hAnsi="PingFang-SC-Regular" w:cs="Segoe UI"/>
          <w:color w:val="05073B"/>
          <w:kern w:val="0"/>
          <w:szCs w:val="21"/>
        </w:rPr>
        <w:t>上通常会有品牌标志和序列号，这些标志和数字应该清晰、精细，并且与品牌标志相符。而</w:t>
      </w:r>
      <w:r>
        <w:rPr>
          <w:rFonts w:hint="eastAsia" w:ascii="PingFang-SC-Regular" w:hAnsi="PingFang-SC-Regular" w:cs="Segoe UI"/>
          <w:color w:val="05073B"/>
          <w:kern w:val="0"/>
          <w:szCs w:val="21"/>
        </w:rPr>
        <w:t>仿冒</w:t>
      </w:r>
      <w:r>
        <w:rPr>
          <w:rFonts w:ascii="PingFang-SC-Regular" w:hAnsi="PingFang-SC-Regular" w:cs="Segoe UI"/>
          <w:color w:val="05073B"/>
          <w:kern w:val="0"/>
          <w:szCs w:val="21"/>
        </w:rPr>
        <w:t>品的标志和数字往往会模糊不清，或者与品牌标志不符。</w:t>
      </w:r>
    </w:p>
    <w:p w14:paraId="2604B9CA">
      <w:pPr>
        <w:widowControl/>
        <w:autoSpaceDE w:val="0"/>
        <w:autoSpaceDN w:val="0"/>
        <w:ind w:left="420"/>
        <w:jc w:val="left"/>
        <w:rPr>
          <w:rFonts w:ascii="宋体" w:hAnsi="Times New Roman" w:cs="Times New Roman"/>
          <w:kern w:val="0"/>
          <w:szCs w:val="20"/>
        </w:rPr>
      </w:pPr>
      <w:r>
        <w:rPr>
          <w:rFonts w:hint="eastAsia" w:ascii="宋体" w:hAnsi="Times New Roman" w:cs="Times New Roman"/>
          <w:kern w:val="0"/>
          <w:szCs w:val="21"/>
        </w:rPr>
        <w:t>根据对比样品，对送检样品的产品标识等信息可参照</w:t>
      </w:r>
      <w:r>
        <w:rPr>
          <w:rFonts w:hint="eastAsia" w:ascii="宋体" w:hAnsi="Times New Roman" w:cs="Times New Roman"/>
          <w:kern w:val="0"/>
          <w:szCs w:val="20"/>
        </w:rPr>
        <w:t>相关标准的规定。并</w:t>
      </w:r>
      <w:r>
        <w:rPr>
          <w:rFonts w:hint="eastAsia" w:ascii="宋体" w:hAnsi="Times New Roman" w:cs="Times New Roman"/>
          <w:kern w:val="0"/>
          <w:szCs w:val="21"/>
        </w:rPr>
        <w:t>按表</w:t>
      </w:r>
      <w:r>
        <w:rPr>
          <w:rFonts w:ascii="宋体" w:hAnsi="Times New Roman" w:cs="Times New Roman"/>
          <w:kern w:val="0"/>
          <w:szCs w:val="21"/>
        </w:rPr>
        <w:t>2</w:t>
      </w:r>
      <w:r>
        <w:rPr>
          <w:rFonts w:hint="eastAsia" w:ascii="宋体" w:hAnsi="Times New Roman" w:cs="Times New Roman"/>
          <w:kern w:val="0"/>
          <w:szCs w:val="21"/>
        </w:rPr>
        <w:t>进行鉴定。</w:t>
      </w:r>
    </w:p>
    <w:p w14:paraId="1E584490">
      <w:pPr>
        <w:widowControl/>
        <w:spacing w:before="120" w:beforeLines="50" w:after="120" w:afterLines="50"/>
        <w:ind w:left="709" w:hanging="709"/>
        <w:jc w:val="center"/>
        <w:rPr>
          <w:rFonts w:ascii="黑体" w:hAnsi="黑体" w:eastAsia="黑体" w:cs="Times New Roman"/>
          <w:color w:val="000000"/>
          <w:kern w:val="0"/>
          <w:sz w:val="18"/>
          <w:szCs w:val="18"/>
        </w:rPr>
      </w:pPr>
      <w:r>
        <w:rPr>
          <w:rFonts w:hint="eastAsia" w:ascii="黑体" w:hAnsi="黑体" w:eastAsia="黑体" w:cs="Times New Roman"/>
          <w:color w:val="000000"/>
          <w:kern w:val="0"/>
          <w:sz w:val="18"/>
          <w:szCs w:val="18"/>
        </w:rPr>
        <w:t>表</w:t>
      </w:r>
      <w:r>
        <w:rPr>
          <w:rFonts w:ascii="黑体" w:hAnsi="黑体" w:eastAsia="黑体" w:cs="Times New Roman"/>
          <w:color w:val="000000"/>
          <w:kern w:val="0"/>
          <w:sz w:val="18"/>
          <w:szCs w:val="18"/>
        </w:rPr>
        <w:t xml:space="preserve">2 </w:t>
      </w:r>
      <w:r>
        <w:rPr>
          <w:rFonts w:hint="eastAsia" w:ascii="黑体" w:hAnsi="黑体" w:eastAsia="黑体" w:cs="Times New Roman"/>
          <w:color w:val="000000"/>
          <w:kern w:val="0"/>
          <w:sz w:val="18"/>
          <w:szCs w:val="18"/>
        </w:rPr>
        <w:t>产品标识信息检测</w:t>
      </w:r>
    </w:p>
    <w:tbl>
      <w:tblPr>
        <w:tblStyle w:val="29"/>
        <w:tblW w:w="93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73"/>
        <w:gridCol w:w="1948"/>
        <w:gridCol w:w="1998"/>
        <w:gridCol w:w="2054"/>
        <w:gridCol w:w="1971"/>
      </w:tblGrid>
      <w:tr w14:paraId="188DB1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73" w:type="dxa"/>
            <w:vAlign w:val="center"/>
          </w:tcPr>
          <w:p w14:paraId="3B4B1B69">
            <w:pPr>
              <w:widowControl/>
              <w:jc w:val="center"/>
              <w:rPr>
                <w:rFonts w:ascii="宋体" w:hAnsi="宋体" w:cs="宋体"/>
                <w:color w:val="000000"/>
                <w:kern w:val="0"/>
                <w:sz w:val="18"/>
                <w:szCs w:val="18"/>
              </w:rPr>
            </w:pPr>
            <w:r>
              <w:rPr>
                <w:rFonts w:hint="eastAsia" w:ascii="宋体" w:hAnsi="宋体" w:cs="宋体"/>
                <w:color w:val="000000"/>
                <w:kern w:val="0"/>
                <w:sz w:val="18"/>
                <w:szCs w:val="18"/>
              </w:rPr>
              <w:t>产品刻字与标志信息鉴定</w:t>
            </w:r>
          </w:p>
        </w:tc>
        <w:tc>
          <w:tcPr>
            <w:tcW w:w="1948" w:type="dxa"/>
            <w:vAlign w:val="center"/>
          </w:tcPr>
          <w:p w14:paraId="4B674F7B">
            <w:pPr>
              <w:widowControl/>
              <w:jc w:val="left"/>
              <w:rPr>
                <w:rFonts w:ascii="宋体" w:hAnsi="宋体" w:cs="宋体"/>
                <w:color w:val="000000"/>
                <w:kern w:val="0"/>
                <w:sz w:val="18"/>
                <w:szCs w:val="18"/>
              </w:rPr>
            </w:pPr>
            <w:r>
              <w:rPr>
                <w:rFonts w:hint="eastAsia" w:ascii="宋体" w:hAnsi="宋体" w:cs="宋体"/>
                <w:color w:val="000000"/>
                <w:kern w:val="0"/>
                <w:sz w:val="18"/>
                <w:szCs w:val="18"/>
              </w:rPr>
              <w:t>贵金属刻印中标志和数字内容是否一致</w:t>
            </w:r>
          </w:p>
        </w:tc>
        <w:tc>
          <w:tcPr>
            <w:tcW w:w="1998" w:type="dxa"/>
            <w:vAlign w:val="center"/>
          </w:tcPr>
          <w:p w14:paraId="5560EE56">
            <w:pPr>
              <w:widowControl/>
              <w:jc w:val="center"/>
              <w:rPr>
                <w:rFonts w:ascii="宋体" w:hAnsi="宋体" w:cs="宋体"/>
                <w:color w:val="000000"/>
                <w:kern w:val="0"/>
                <w:sz w:val="18"/>
                <w:szCs w:val="18"/>
              </w:rPr>
            </w:pPr>
            <w:r>
              <w:rPr>
                <w:rFonts w:hint="eastAsia" w:ascii="宋体" w:hAnsi="宋体" w:cs="宋体"/>
                <w:color w:val="000000"/>
                <w:kern w:val="0"/>
                <w:sz w:val="18"/>
                <w:szCs w:val="18"/>
              </w:rPr>
              <w:t>排版（行间距、字符间距等）、字体是否一致</w:t>
            </w:r>
          </w:p>
        </w:tc>
        <w:tc>
          <w:tcPr>
            <w:tcW w:w="2054" w:type="dxa"/>
            <w:vAlign w:val="center"/>
          </w:tcPr>
          <w:p w14:paraId="02A42C1E">
            <w:pPr>
              <w:widowControl/>
              <w:jc w:val="center"/>
              <w:rPr>
                <w:rFonts w:ascii="宋体" w:hAnsi="宋体" w:cs="宋体"/>
                <w:color w:val="000000"/>
                <w:kern w:val="0"/>
                <w:sz w:val="18"/>
                <w:szCs w:val="18"/>
              </w:rPr>
            </w:pPr>
            <w:r>
              <w:rPr>
                <w:rFonts w:hint="eastAsia" w:ascii="宋体" w:hAnsi="宋体" w:cs="宋体"/>
                <w:color w:val="000000"/>
                <w:kern w:val="0"/>
                <w:sz w:val="18"/>
                <w:szCs w:val="18"/>
              </w:rPr>
              <w:t>印刷工艺是否一致</w:t>
            </w:r>
          </w:p>
        </w:tc>
        <w:tc>
          <w:tcPr>
            <w:tcW w:w="1971" w:type="dxa"/>
            <w:vAlign w:val="center"/>
          </w:tcPr>
          <w:p w14:paraId="6F3D2A53">
            <w:pPr>
              <w:widowControl/>
              <w:jc w:val="center"/>
              <w:rPr>
                <w:rFonts w:ascii="宋体" w:hAnsi="宋体" w:cs="宋体"/>
                <w:color w:val="000000"/>
                <w:kern w:val="0"/>
                <w:sz w:val="18"/>
                <w:szCs w:val="18"/>
                <w:vertAlign w:val="superscript"/>
              </w:rPr>
            </w:pPr>
            <w:r>
              <w:rPr>
                <w:rFonts w:hint="eastAsia" w:ascii="宋体" w:hAnsi="宋体" w:cs="宋体"/>
                <w:color w:val="000000"/>
                <w:kern w:val="0"/>
                <w:sz w:val="18"/>
                <w:szCs w:val="18"/>
              </w:rPr>
              <w:t>贵金属标识是否与GB</w:t>
            </w:r>
            <w:r>
              <w:rPr>
                <w:rFonts w:ascii="宋体" w:hAnsi="宋体" w:cs="宋体"/>
                <w:color w:val="000000"/>
                <w:kern w:val="0"/>
                <w:sz w:val="18"/>
                <w:szCs w:val="18"/>
              </w:rPr>
              <w:t xml:space="preserve"> 11887</w:t>
            </w:r>
            <w:r>
              <w:rPr>
                <w:rFonts w:hint="eastAsia" w:ascii="宋体" w:hAnsi="宋体" w:cs="宋体"/>
                <w:color w:val="000000"/>
                <w:kern w:val="0"/>
                <w:sz w:val="18"/>
                <w:szCs w:val="18"/>
              </w:rPr>
              <w:t>不一致（针对在国内销售的产品）</w:t>
            </w:r>
            <w:r>
              <w:rPr>
                <w:rFonts w:hint="eastAsia" w:ascii="宋体" w:hAnsi="宋体" w:cs="宋体"/>
                <w:color w:val="000000"/>
                <w:kern w:val="0"/>
                <w:sz w:val="18"/>
                <w:szCs w:val="18"/>
                <w:vertAlign w:val="superscript"/>
              </w:rPr>
              <w:t>a</w:t>
            </w:r>
          </w:p>
        </w:tc>
      </w:tr>
      <w:tr w14:paraId="64CEBA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73" w:type="dxa"/>
            <w:vAlign w:val="center"/>
          </w:tcPr>
          <w:p w14:paraId="0EE09716">
            <w:pPr>
              <w:widowControl/>
              <w:jc w:val="center"/>
              <w:rPr>
                <w:rFonts w:ascii="宋体" w:hAnsi="宋体" w:cs="宋体"/>
                <w:color w:val="000000"/>
                <w:kern w:val="0"/>
                <w:sz w:val="18"/>
                <w:szCs w:val="18"/>
              </w:rPr>
            </w:pPr>
            <w:r>
              <w:rPr>
                <w:rFonts w:hint="eastAsia" w:ascii="宋体" w:hAnsi="宋体" w:cs="宋体"/>
                <w:color w:val="000000"/>
                <w:kern w:val="0"/>
                <w:sz w:val="18"/>
                <w:szCs w:val="18"/>
              </w:rPr>
              <w:t>鉴定结果</w:t>
            </w:r>
          </w:p>
        </w:tc>
        <w:tc>
          <w:tcPr>
            <w:tcW w:w="1948" w:type="dxa"/>
            <w:vAlign w:val="center"/>
          </w:tcPr>
          <w:p w14:paraId="5910D0F3">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是</w:t>
            </w:r>
          </w:p>
          <w:p w14:paraId="752CEFB0">
            <w:pPr>
              <w:widowControl/>
              <w:jc w:val="left"/>
              <w:rPr>
                <w:rFonts w:ascii="宋体" w:hAnsi="宋体" w:cs="宋体"/>
                <w:kern w:val="0"/>
                <w:sz w:val="18"/>
                <w:szCs w:val="18"/>
              </w:rPr>
            </w:pPr>
            <w:r>
              <w:rPr>
                <w:rFonts w:hint="eastAsia" w:ascii="宋体" w:hAnsi="宋体" w:cs="宋体"/>
                <w:color w:val="000000"/>
                <w:kern w:val="0"/>
                <w:sz w:val="18"/>
                <w:szCs w:val="18"/>
              </w:rPr>
              <w:sym w:font="Wingdings 2" w:char="00A3"/>
            </w:r>
            <w:r>
              <w:rPr>
                <w:rFonts w:hint="eastAsia" w:ascii="宋体" w:hAnsi="宋体" w:cs="宋体"/>
                <w:kern w:val="0"/>
                <w:sz w:val="18"/>
                <w:szCs w:val="18"/>
              </w:rPr>
              <w:t>否</w:t>
            </w:r>
          </w:p>
          <w:p w14:paraId="57F424FA">
            <w:pPr>
              <w:widowControl/>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无法确定</w:t>
            </w:r>
          </w:p>
        </w:tc>
        <w:tc>
          <w:tcPr>
            <w:tcW w:w="1998" w:type="dxa"/>
            <w:vAlign w:val="center"/>
          </w:tcPr>
          <w:p w14:paraId="4C3B7631">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是</w:t>
            </w:r>
          </w:p>
          <w:p w14:paraId="20321ACE">
            <w:pPr>
              <w:widowControl/>
              <w:jc w:val="left"/>
              <w:rPr>
                <w:rFonts w:ascii="宋体" w:hAnsi="宋体" w:cs="宋体"/>
                <w:kern w:val="0"/>
                <w:sz w:val="18"/>
                <w:szCs w:val="18"/>
              </w:rPr>
            </w:pPr>
            <w:r>
              <w:rPr>
                <w:rFonts w:hint="eastAsia" w:ascii="宋体" w:hAnsi="宋体" w:cs="宋体"/>
                <w:color w:val="000000"/>
                <w:kern w:val="0"/>
                <w:sz w:val="18"/>
                <w:szCs w:val="18"/>
              </w:rPr>
              <w:sym w:font="Wingdings 2" w:char="00A3"/>
            </w:r>
            <w:r>
              <w:rPr>
                <w:rFonts w:hint="eastAsia" w:ascii="宋体" w:hAnsi="宋体" w:cs="宋体"/>
                <w:kern w:val="0"/>
                <w:sz w:val="18"/>
                <w:szCs w:val="18"/>
              </w:rPr>
              <w:t>否</w:t>
            </w:r>
          </w:p>
          <w:p w14:paraId="3D3B24FB">
            <w:pPr>
              <w:widowControl/>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无法确定</w:t>
            </w:r>
          </w:p>
        </w:tc>
        <w:tc>
          <w:tcPr>
            <w:tcW w:w="2054" w:type="dxa"/>
          </w:tcPr>
          <w:p w14:paraId="21068A5A">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是</w:t>
            </w:r>
          </w:p>
          <w:p w14:paraId="12F65805">
            <w:pPr>
              <w:widowControl/>
              <w:jc w:val="left"/>
              <w:rPr>
                <w:rFonts w:ascii="宋体" w:hAnsi="宋体" w:cs="宋体"/>
                <w:kern w:val="0"/>
                <w:sz w:val="18"/>
                <w:szCs w:val="18"/>
              </w:rPr>
            </w:pPr>
            <w:r>
              <w:rPr>
                <w:rFonts w:hint="eastAsia" w:ascii="宋体" w:hAnsi="宋体" w:cs="宋体"/>
                <w:color w:val="000000"/>
                <w:kern w:val="0"/>
                <w:sz w:val="18"/>
                <w:szCs w:val="18"/>
              </w:rPr>
              <w:sym w:font="Wingdings 2" w:char="00A3"/>
            </w:r>
            <w:r>
              <w:rPr>
                <w:rFonts w:hint="eastAsia" w:ascii="宋体" w:hAnsi="宋体" w:cs="宋体"/>
                <w:kern w:val="0"/>
                <w:sz w:val="18"/>
                <w:szCs w:val="18"/>
              </w:rPr>
              <w:t>否</w:t>
            </w:r>
          </w:p>
          <w:p w14:paraId="0F9B6992">
            <w:pPr>
              <w:widowControl/>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无法确定</w:t>
            </w:r>
          </w:p>
        </w:tc>
        <w:tc>
          <w:tcPr>
            <w:tcW w:w="1971" w:type="dxa"/>
          </w:tcPr>
          <w:p w14:paraId="582DD0E4">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是</w:t>
            </w:r>
          </w:p>
          <w:p w14:paraId="70B3A646">
            <w:pPr>
              <w:widowControl/>
              <w:jc w:val="left"/>
              <w:rPr>
                <w:rFonts w:ascii="宋体" w:hAnsi="宋体" w:cs="宋体"/>
                <w:kern w:val="0"/>
                <w:sz w:val="18"/>
                <w:szCs w:val="18"/>
              </w:rPr>
            </w:pPr>
            <w:r>
              <w:rPr>
                <w:rFonts w:hint="eastAsia" w:ascii="宋体" w:hAnsi="宋体" w:cs="宋体"/>
                <w:color w:val="000000"/>
                <w:kern w:val="0"/>
                <w:sz w:val="18"/>
                <w:szCs w:val="18"/>
              </w:rPr>
              <w:sym w:font="Wingdings 2" w:char="00A3"/>
            </w:r>
            <w:r>
              <w:rPr>
                <w:rFonts w:hint="eastAsia" w:ascii="宋体" w:hAnsi="宋体" w:cs="宋体"/>
                <w:kern w:val="0"/>
                <w:sz w:val="18"/>
                <w:szCs w:val="18"/>
              </w:rPr>
              <w:t>否</w:t>
            </w:r>
          </w:p>
          <w:p w14:paraId="36FEB767">
            <w:pPr>
              <w:widowControl/>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无法确定</w:t>
            </w:r>
          </w:p>
        </w:tc>
      </w:tr>
      <w:tr w14:paraId="0280D4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73" w:type="dxa"/>
            <w:vAlign w:val="center"/>
          </w:tcPr>
          <w:p w14:paraId="69D63A75">
            <w:pPr>
              <w:widowControl/>
              <w:jc w:val="center"/>
              <w:rPr>
                <w:rFonts w:ascii="宋体" w:hAnsi="宋体" w:cs="宋体"/>
                <w:color w:val="000000"/>
                <w:kern w:val="0"/>
                <w:sz w:val="18"/>
                <w:szCs w:val="18"/>
              </w:rPr>
            </w:pPr>
            <w:r>
              <w:rPr>
                <w:rFonts w:hint="eastAsia" w:ascii="宋体" w:hAnsi="宋体" w:cs="宋体"/>
                <w:color w:val="000000"/>
                <w:kern w:val="0"/>
                <w:sz w:val="18"/>
                <w:szCs w:val="18"/>
              </w:rPr>
              <w:t>产品刻字与标志鉴定结论</w:t>
            </w:r>
          </w:p>
        </w:tc>
        <w:tc>
          <w:tcPr>
            <w:tcW w:w="7971" w:type="dxa"/>
            <w:gridSpan w:val="4"/>
          </w:tcPr>
          <w:p w14:paraId="13D7F3AA">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ascii="宋体" w:hAnsi="宋体" w:cs="宋体"/>
                <w:color w:val="000000"/>
                <w:kern w:val="0"/>
                <w:sz w:val="18"/>
                <w:szCs w:val="18"/>
              </w:rPr>
              <w:t xml:space="preserve"> 符合品牌饰品特征（经实物鉴定）</w:t>
            </w:r>
          </w:p>
          <w:p w14:paraId="5EAB8A43">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 xml:space="preserve"> </w:t>
            </w:r>
            <w:r>
              <w:rPr>
                <w:rFonts w:ascii="宋体" w:hAnsi="宋体" w:cs="宋体"/>
                <w:color w:val="000000"/>
                <w:kern w:val="0"/>
                <w:sz w:val="18"/>
                <w:szCs w:val="18"/>
              </w:rPr>
              <w:t>不符合品牌饰品特征（经实物鉴定）</w:t>
            </w:r>
          </w:p>
          <w:p w14:paraId="113A3E9D">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ascii="宋体" w:hAnsi="宋体" w:cs="宋体"/>
                <w:color w:val="000000"/>
                <w:kern w:val="0"/>
                <w:sz w:val="18"/>
                <w:szCs w:val="18"/>
              </w:rPr>
              <w:t xml:space="preserve"> 无法判断</w:t>
            </w:r>
          </w:p>
        </w:tc>
      </w:tr>
      <w:tr w14:paraId="3699EC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44" w:type="dxa"/>
            <w:gridSpan w:val="5"/>
            <w:vAlign w:val="center"/>
          </w:tcPr>
          <w:p w14:paraId="23741016">
            <w:pPr>
              <w:widowControl/>
              <w:jc w:val="left"/>
              <w:rPr>
                <w:rFonts w:ascii="宋体" w:hAnsi="宋体" w:cs="宋体"/>
                <w:color w:val="000000"/>
                <w:kern w:val="0"/>
                <w:sz w:val="18"/>
                <w:szCs w:val="18"/>
              </w:rPr>
            </w:pPr>
            <w:r>
              <w:rPr>
                <w:rFonts w:hint="eastAsia" w:ascii="宋体" w:hAnsi="宋体" w:cs="宋体"/>
                <w:color w:val="000000"/>
                <w:kern w:val="0"/>
                <w:sz w:val="18"/>
                <w:szCs w:val="18"/>
                <w:vertAlign w:val="superscript"/>
              </w:rPr>
              <w:t>a</w:t>
            </w:r>
            <w:r>
              <w:rPr>
                <w:rFonts w:ascii="宋体" w:hAnsi="宋体" w:cs="宋体"/>
                <w:color w:val="000000"/>
                <w:kern w:val="0"/>
                <w:sz w:val="18"/>
                <w:szCs w:val="18"/>
                <w:vertAlign w:val="superscript"/>
              </w:rPr>
              <w:t xml:space="preserve"> </w:t>
            </w:r>
            <w:r>
              <w:rPr>
                <w:rFonts w:hint="eastAsia" w:ascii="宋体" w:hAnsi="宋体" w:cs="宋体"/>
                <w:color w:val="000000"/>
                <w:kern w:val="0"/>
                <w:sz w:val="18"/>
                <w:szCs w:val="18"/>
              </w:rPr>
              <w:t>如不一致，应直接判定为仿冒品。</w:t>
            </w:r>
          </w:p>
        </w:tc>
      </w:tr>
    </w:tbl>
    <w:p w14:paraId="4A25A450">
      <w:pPr>
        <w:pStyle w:val="233"/>
        <w:numPr>
          <w:ilvl w:val="0"/>
          <w:numId w:val="37"/>
        </w:numPr>
        <w:spacing w:before="120" w:beforeLines="50" w:after="120" w:afterLines="50"/>
        <w:outlineLvl w:val="2"/>
        <w:rPr>
          <w:rFonts w:ascii="黑体" w:hAnsi="黑体" w:eastAsia="黑体" w:cs="Times New Roman"/>
          <w:color w:val="000000"/>
          <w:sz w:val="21"/>
          <w:szCs w:val="21"/>
        </w:rPr>
      </w:pPr>
      <w:r>
        <w:rPr>
          <w:rFonts w:hint="eastAsia" w:ascii="黑体" w:hAnsi="黑体" w:eastAsia="黑体" w:cs="Times New Roman"/>
          <w:color w:val="000000"/>
          <w:sz w:val="21"/>
          <w:szCs w:val="21"/>
        </w:rPr>
        <w:t>整体外观鉴定</w:t>
      </w:r>
    </w:p>
    <w:p w14:paraId="211D7B50">
      <w:pPr>
        <w:widowControl/>
        <w:ind w:firstLine="424" w:firstLineChars="202"/>
        <w:jc w:val="left"/>
        <w:rPr>
          <w:rFonts w:ascii="宋体" w:hAnsi="Times New Roman" w:cs="Times New Roman"/>
          <w:color w:val="000000"/>
          <w:kern w:val="0"/>
          <w:szCs w:val="21"/>
        </w:rPr>
      </w:pPr>
      <w:r>
        <w:rPr>
          <w:rFonts w:hint="eastAsia" w:ascii="宋体" w:hAnsi="Times New Roman" w:cs="Times New Roman"/>
          <w:color w:val="000000"/>
          <w:kern w:val="0"/>
          <w:szCs w:val="21"/>
        </w:rPr>
        <w:t>根据对比样品，对送检样品的整体结构包括比例、尺寸、造型/形态、颜色和工艺等按表</w:t>
      </w:r>
      <w:r>
        <w:rPr>
          <w:rFonts w:ascii="宋体" w:hAnsi="Times New Roman" w:cs="Times New Roman"/>
          <w:color w:val="000000"/>
          <w:kern w:val="0"/>
          <w:szCs w:val="21"/>
        </w:rPr>
        <w:t>3</w:t>
      </w:r>
      <w:r>
        <w:rPr>
          <w:rFonts w:hint="eastAsia" w:ascii="宋体" w:hAnsi="Times New Roman" w:cs="Times New Roman"/>
          <w:color w:val="000000"/>
          <w:kern w:val="0"/>
          <w:szCs w:val="21"/>
        </w:rPr>
        <w:t>进行鉴定。</w:t>
      </w:r>
    </w:p>
    <w:p w14:paraId="03107546">
      <w:pPr>
        <w:widowControl/>
        <w:spacing w:before="120" w:beforeLines="50" w:after="120" w:afterLines="50"/>
        <w:ind w:left="709" w:hanging="709"/>
        <w:jc w:val="center"/>
        <w:rPr>
          <w:rFonts w:ascii="黑体" w:hAnsi="黑体" w:eastAsia="黑体" w:cs="Times New Roman"/>
          <w:color w:val="000000"/>
          <w:kern w:val="0"/>
          <w:sz w:val="18"/>
          <w:szCs w:val="18"/>
        </w:rPr>
      </w:pPr>
      <w:r>
        <w:rPr>
          <w:rFonts w:hint="eastAsia" w:ascii="黑体" w:hAnsi="黑体" w:eastAsia="黑体" w:cs="Times New Roman"/>
          <w:color w:val="000000"/>
          <w:kern w:val="0"/>
          <w:sz w:val="18"/>
          <w:szCs w:val="18"/>
        </w:rPr>
        <w:t>表</w:t>
      </w:r>
      <w:r>
        <w:rPr>
          <w:rFonts w:ascii="黑体" w:hAnsi="黑体" w:eastAsia="黑体" w:cs="Times New Roman"/>
          <w:color w:val="000000"/>
          <w:kern w:val="0"/>
          <w:sz w:val="18"/>
          <w:szCs w:val="18"/>
        </w:rPr>
        <w:t xml:space="preserve">3 </w:t>
      </w:r>
      <w:r>
        <w:rPr>
          <w:rFonts w:hint="eastAsia" w:ascii="黑体" w:hAnsi="黑体" w:eastAsia="黑体" w:cs="Times New Roman"/>
          <w:color w:val="000000"/>
          <w:kern w:val="0"/>
          <w:sz w:val="18"/>
          <w:szCs w:val="18"/>
        </w:rPr>
        <w:t>整体外观鉴定</w:t>
      </w:r>
    </w:p>
    <w:tbl>
      <w:tblPr>
        <w:tblStyle w:val="29"/>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03"/>
        <w:gridCol w:w="1472"/>
        <w:gridCol w:w="1638"/>
        <w:gridCol w:w="1388"/>
        <w:gridCol w:w="1307"/>
        <w:gridCol w:w="1235"/>
        <w:gridCol w:w="1227"/>
      </w:tblGrid>
      <w:tr w14:paraId="04CBD7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1" w:type="pct"/>
            <w:vAlign w:val="center"/>
          </w:tcPr>
          <w:p w14:paraId="296F9D4D">
            <w:pPr>
              <w:widowControl/>
              <w:jc w:val="center"/>
              <w:rPr>
                <w:rFonts w:ascii="宋体" w:hAnsi="宋体" w:cs="宋体"/>
                <w:color w:val="000000"/>
                <w:kern w:val="0"/>
                <w:sz w:val="18"/>
                <w:szCs w:val="18"/>
              </w:rPr>
            </w:pPr>
            <w:r>
              <w:rPr>
                <w:rFonts w:hint="eastAsia" w:ascii="宋体" w:hAnsi="宋体" w:cs="宋体"/>
                <w:color w:val="000000"/>
                <w:kern w:val="0"/>
                <w:sz w:val="18"/>
                <w:szCs w:val="18"/>
              </w:rPr>
              <w:t>整体外观鉴定</w:t>
            </w:r>
          </w:p>
        </w:tc>
        <w:tc>
          <w:tcPr>
            <w:tcW w:w="769" w:type="pct"/>
            <w:vAlign w:val="center"/>
          </w:tcPr>
          <w:p w14:paraId="39F26685">
            <w:pPr>
              <w:widowControl/>
              <w:jc w:val="center"/>
              <w:rPr>
                <w:rFonts w:ascii="宋体" w:hAnsi="宋体" w:cs="宋体"/>
                <w:color w:val="000000"/>
                <w:kern w:val="0"/>
                <w:sz w:val="18"/>
                <w:szCs w:val="18"/>
              </w:rPr>
            </w:pPr>
            <w:r>
              <w:rPr>
                <w:rFonts w:hint="eastAsia" w:ascii="宋体" w:hAnsi="宋体" w:cs="宋体"/>
                <w:color w:val="000000"/>
                <w:kern w:val="0"/>
                <w:sz w:val="18"/>
                <w:szCs w:val="18"/>
              </w:rPr>
              <w:t>各部位比例是否一致</w:t>
            </w:r>
          </w:p>
        </w:tc>
        <w:tc>
          <w:tcPr>
            <w:tcW w:w="856" w:type="pct"/>
            <w:vAlign w:val="center"/>
          </w:tcPr>
          <w:p w14:paraId="2353DB1A">
            <w:pPr>
              <w:widowControl/>
              <w:jc w:val="center"/>
              <w:rPr>
                <w:rFonts w:ascii="宋体" w:hAnsi="宋体" w:cs="宋体"/>
                <w:color w:val="000000"/>
                <w:kern w:val="0"/>
                <w:sz w:val="18"/>
                <w:szCs w:val="18"/>
              </w:rPr>
            </w:pPr>
            <w:r>
              <w:rPr>
                <w:rFonts w:hint="eastAsia" w:ascii="宋体" w:hAnsi="宋体" w:cs="宋体"/>
                <w:color w:val="000000"/>
                <w:kern w:val="0"/>
                <w:sz w:val="18"/>
                <w:szCs w:val="18"/>
              </w:rPr>
              <w:t>相应部位尺寸是否一致</w:t>
            </w:r>
          </w:p>
        </w:tc>
        <w:tc>
          <w:tcPr>
            <w:tcW w:w="725" w:type="pct"/>
            <w:vAlign w:val="center"/>
          </w:tcPr>
          <w:p w14:paraId="630945AA">
            <w:pPr>
              <w:widowControl/>
              <w:jc w:val="center"/>
              <w:rPr>
                <w:rFonts w:ascii="宋体" w:hAnsi="宋体" w:cs="宋体"/>
                <w:color w:val="000000"/>
                <w:kern w:val="0"/>
                <w:sz w:val="18"/>
                <w:szCs w:val="18"/>
              </w:rPr>
            </w:pPr>
            <w:r>
              <w:rPr>
                <w:rFonts w:hint="eastAsia" w:ascii="宋体" w:hAnsi="宋体" w:cs="宋体"/>
                <w:color w:val="000000"/>
                <w:kern w:val="0"/>
                <w:sz w:val="18"/>
                <w:szCs w:val="18"/>
              </w:rPr>
              <w:t>整体/部件造型是否一致</w:t>
            </w:r>
          </w:p>
        </w:tc>
        <w:tc>
          <w:tcPr>
            <w:tcW w:w="683" w:type="pct"/>
            <w:vAlign w:val="center"/>
          </w:tcPr>
          <w:p w14:paraId="75C28710">
            <w:pPr>
              <w:widowControl/>
              <w:jc w:val="center"/>
              <w:rPr>
                <w:rFonts w:ascii="宋体" w:hAnsi="宋体" w:cs="宋体"/>
                <w:color w:val="000000"/>
                <w:kern w:val="0"/>
                <w:sz w:val="18"/>
                <w:szCs w:val="18"/>
              </w:rPr>
            </w:pPr>
            <w:r>
              <w:rPr>
                <w:rFonts w:hint="eastAsia" w:ascii="宋体" w:hAnsi="宋体" w:cs="宋体"/>
                <w:color w:val="000000"/>
                <w:kern w:val="0"/>
                <w:sz w:val="18"/>
                <w:szCs w:val="18"/>
              </w:rPr>
              <w:t>颜色（光泽）均匀度是否一致</w:t>
            </w:r>
          </w:p>
        </w:tc>
        <w:tc>
          <w:tcPr>
            <w:tcW w:w="645" w:type="pct"/>
            <w:vAlign w:val="center"/>
          </w:tcPr>
          <w:p w14:paraId="42C457C4">
            <w:pPr>
              <w:widowControl/>
              <w:jc w:val="center"/>
              <w:rPr>
                <w:rFonts w:ascii="宋体" w:hAnsi="宋体" w:cs="宋体"/>
                <w:color w:val="000000"/>
                <w:kern w:val="0"/>
                <w:sz w:val="18"/>
                <w:szCs w:val="18"/>
              </w:rPr>
            </w:pPr>
            <w:r>
              <w:rPr>
                <w:rFonts w:hint="eastAsia" w:ascii="宋体" w:hAnsi="宋体" w:cs="宋体"/>
                <w:color w:val="000000"/>
                <w:kern w:val="0"/>
                <w:sz w:val="18"/>
                <w:szCs w:val="18"/>
              </w:rPr>
              <w:t>工艺是否一致</w:t>
            </w:r>
          </w:p>
        </w:tc>
        <w:tc>
          <w:tcPr>
            <w:tcW w:w="641" w:type="pct"/>
            <w:vAlign w:val="center"/>
          </w:tcPr>
          <w:p w14:paraId="0167C3B6">
            <w:pPr>
              <w:widowControl/>
              <w:jc w:val="center"/>
              <w:rPr>
                <w:rFonts w:ascii="宋体" w:hAnsi="宋体" w:cs="宋体"/>
                <w:color w:val="000000"/>
                <w:kern w:val="0"/>
                <w:sz w:val="18"/>
                <w:szCs w:val="18"/>
              </w:rPr>
            </w:pPr>
            <w:r>
              <w:rPr>
                <w:rFonts w:hint="eastAsia" w:ascii="宋体" w:hAnsi="宋体" w:cs="宋体"/>
                <w:color w:val="000000"/>
                <w:kern w:val="0"/>
                <w:sz w:val="18"/>
                <w:szCs w:val="18"/>
              </w:rPr>
              <w:t>图案是否一致</w:t>
            </w:r>
          </w:p>
        </w:tc>
      </w:tr>
      <w:tr w14:paraId="6D4307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1" w:type="pct"/>
            <w:vAlign w:val="center"/>
          </w:tcPr>
          <w:p w14:paraId="1B24FC5A">
            <w:pPr>
              <w:widowControl/>
              <w:jc w:val="center"/>
              <w:rPr>
                <w:rFonts w:ascii="宋体" w:hAnsi="宋体" w:cs="宋体"/>
                <w:color w:val="000000"/>
                <w:kern w:val="0"/>
                <w:sz w:val="18"/>
                <w:szCs w:val="18"/>
              </w:rPr>
            </w:pPr>
            <w:r>
              <w:rPr>
                <w:rFonts w:hint="eastAsia" w:ascii="宋体" w:hAnsi="宋体" w:cs="宋体"/>
                <w:color w:val="000000"/>
                <w:kern w:val="0"/>
                <w:sz w:val="18"/>
                <w:szCs w:val="18"/>
              </w:rPr>
              <w:t>鉴定结果</w:t>
            </w:r>
          </w:p>
        </w:tc>
        <w:tc>
          <w:tcPr>
            <w:tcW w:w="769" w:type="pct"/>
            <w:vAlign w:val="center"/>
          </w:tcPr>
          <w:p w14:paraId="74F1B71C">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是</w:t>
            </w:r>
          </w:p>
          <w:p w14:paraId="780AAE62">
            <w:pPr>
              <w:widowControl/>
              <w:jc w:val="left"/>
              <w:rPr>
                <w:rFonts w:ascii="宋体" w:hAnsi="宋体" w:cs="宋体"/>
                <w:kern w:val="0"/>
                <w:sz w:val="18"/>
                <w:szCs w:val="18"/>
              </w:rPr>
            </w:pPr>
            <w:r>
              <w:rPr>
                <w:rFonts w:hint="eastAsia" w:ascii="宋体" w:hAnsi="宋体" w:cs="宋体"/>
                <w:color w:val="000000"/>
                <w:kern w:val="0"/>
                <w:sz w:val="18"/>
                <w:szCs w:val="18"/>
              </w:rPr>
              <w:sym w:font="Wingdings 2" w:char="00A3"/>
            </w:r>
            <w:r>
              <w:rPr>
                <w:rFonts w:hint="eastAsia" w:ascii="宋体" w:hAnsi="宋体" w:cs="宋体"/>
                <w:kern w:val="0"/>
                <w:sz w:val="18"/>
                <w:szCs w:val="18"/>
              </w:rPr>
              <w:t>否</w:t>
            </w:r>
          </w:p>
          <w:p w14:paraId="4CD0DBC3">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无法确定</w:t>
            </w:r>
          </w:p>
        </w:tc>
        <w:tc>
          <w:tcPr>
            <w:tcW w:w="856" w:type="pct"/>
            <w:vAlign w:val="center"/>
          </w:tcPr>
          <w:p w14:paraId="038BB2EB">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是</w:t>
            </w:r>
          </w:p>
          <w:p w14:paraId="215B8424">
            <w:pPr>
              <w:widowControl/>
              <w:jc w:val="left"/>
              <w:rPr>
                <w:rFonts w:ascii="宋体" w:hAnsi="宋体" w:cs="宋体"/>
                <w:kern w:val="0"/>
                <w:sz w:val="18"/>
                <w:szCs w:val="18"/>
              </w:rPr>
            </w:pPr>
            <w:r>
              <w:rPr>
                <w:rFonts w:hint="eastAsia" w:ascii="宋体" w:hAnsi="宋体" w:cs="宋体"/>
                <w:color w:val="000000"/>
                <w:kern w:val="0"/>
                <w:sz w:val="18"/>
                <w:szCs w:val="18"/>
              </w:rPr>
              <w:sym w:font="Wingdings 2" w:char="00A3"/>
            </w:r>
            <w:r>
              <w:rPr>
                <w:rFonts w:hint="eastAsia" w:ascii="宋体" w:hAnsi="宋体" w:cs="宋体"/>
                <w:kern w:val="0"/>
                <w:sz w:val="18"/>
                <w:szCs w:val="18"/>
              </w:rPr>
              <w:t>否</w:t>
            </w:r>
          </w:p>
          <w:p w14:paraId="4EE91758">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无法确定</w:t>
            </w:r>
          </w:p>
        </w:tc>
        <w:tc>
          <w:tcPr>
            <w:tcW w:w="725" w:type="pct"/>
          </w:tcPr>
          <w:p w14:paraId="5F3162A2">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是</w:t>
            </w:r>
          </w:p>
          <w:p w14:paraId="04A1CEA0">
            <w:pPr>
              <w:widowControl/>
              <w:jc w:val="left"/>
              <w:rPr>
                <w:rFonts w:ascii="宋体" w:hAnsi="宋体" w:cs="宋体"/>
                <w:kern w:val="0"/>
                <w:sz w:val="18"/>
                <w:szCs w:val="18"/>
              </w:rPr>
            </w:pPr>
            <w:r>
              <w:rPr>
                <w:rFonts w:hint="eastAsia" w:ascii="宋体" w:hAnsi="宋体" w:cs="宋体"/>
                <w:color w:val="000000"/>
                <w:kern w:val="0"/>
                <w:sz w:val="18"/>
                <w:szCs w:val="18"/>
              </w:rPr>
              <w:sym w:font="Wingdings 2" w:char="00A3"/>
            </w:r>
            <w:r>
              <w:rPr>
                <w:rFonts w:hint="eastAsia" w:ascii="宋体" w:hAnsi="宋体" w:cs="宋体"/>
                <w:kern w:val="0"/>
                <w:sz w:val="18"/>
                <w:szCs w:val="18"/>
              </w:rPr>
              <w:t>否</w:t>
            </w:r>
          </w:p>
          <w:p w14:paraId="4E808792">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无法确定</w:t>
            </w:r>
          </w:p>
        </w:tc>
        <w:tc>
          <w:tcPr>
            <w:tcW w:w="683" w:type="pct"/>
          </w:tcPr>
          <w:p w14:paraId="33DDD5C4">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是</w:t>
            </w:r>
          </w:p>
          <w:p w14:paraId="605E7EFE">
            <w:pPr>
              <w:widowControl/>
              <w:jc w:val="left"/>
              <w:rPr>
                <w:rFonts w:ascii="宋体" w:hAnsi="宋体" w:cs="宋体"/>
                <w:kern w:val="0"/>
                <w:sz w:val="18"/>
                <w:szCs w:val="18"/>
              </w:rPr>
            </w:pPr>
            <w:r>
              <w:rPr>
                <w:rFonts w:hint="eastAsia" w:ascii="宋体" w:hAnsi="宋体" w:cs="宋体"/>
                <w:color w:val="000000"/>
                <w:kern w:val="0"/>
                <w:sz w:val="18"/>
                <w:szCs w:val="18"/>
              </w:rPr>
              <w:sym w:font="Wingdings 2" w:char="00A3"/>
            </w:r>
            <w:r>
              <w:rPr>
                <w:rFonts w:hint="eastAsia" w:ascii="宋体" w:hAnsi="宋体" w:cs="宋体"/>
                <w:kern w:val="0"/>
                <w:sz w:val="18"/>
                <w:szCs w:val="18"/>
              </w:rPr>
              <w:t>否</w:t>
            </w:r>
          </w:p>
          <w:p w14:paraId="243AB85B">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无法确定</w:t>
            </w:r>
          </w:p>
        </w:tc>
        <w:tc>
          <w:tcPr>
            <w:tcW w:w="645" w:type="pct"/>
          </w:tcPr>
          <w:p w14:paraId="7BBF4BFA">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是</w:t>
            </w:r>
          </w:p>
          <w:p w14:paraId="74D2BC9D">
            <w:pPr>
              <w:widowControl/>
              <w:jc w:val="left"/>
              <w:rPr>
                <w:rFonts w:ascii="宋体" w:hAnsi="宋体" w:cs="宋体"/>
                <w:kern w:val="0"/>
                <w:sz w:val="18"/>
                <w:szCs w:val="18"/>
              </w:rPr>
            </w:pPr>
            <w:r>
              <w:rPr>
                <w:rFonts w:hint="eastAsia" w:ascii="宋体" w:hAnsi="宋体" w:cs="宋体"/>
                <w:color w:val="000000"/>
                <w:kern w:val="0"/>
                <w:sz w:val="18"/>
                <w:szCs w:val="18"/>
              </w:rPr>
              <w:sym w:font="Wingdings 2" w:char="00A3"/>
            </w:r>
            <w:r>
              <w:rPr>
                <w:rFonts w:hint="eastAsia" w:ascii="宋体" w:hAnsi="宋体" w:cs="宋体"/>
                <w:kern w:val="0"/>
                <w:sz w:val="18"/>
                <w:szCs w:val="18"/>
              </w:rPr>
              <w:t>否</w:t>
            </w:r>
          </w:p>
          <w:p w14:paraId="539ACA8B">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无法确定</w:t>
            </w:r>
          </w:p>
        </w:tc>
        <w:tc>
          <w:tcPr>
            <w:tcW w:w="641" w:type="pct"/>
          </w:tcPr>
          <w:p w14:paraId="74592BE8">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是</w:t>
            </w:r>
          </w:p>
          <w:p w14:paraId="1BF65553">
            <w:pPr>
              <w:widowControl/>
              <w:jc w:val="left"/>
              <w:rPr>
                <w:rFonts w:ascii="宋体" w:hAnsi="宋体" w:cs="宋体"/>
                <w:kern w:val="0"/>
                <w:sz w:val="18"/>
                <w:szCs w:val="18"/>
              </w:rPr>
            </w:pPr>
            <w:r>
              <w:rPr>
                <w:rFonts w:hint="eastAsia" w:ascii="宋体" w:hAnsi="宋体" w:cs="宋体"/>
                <w:color w:val="000000"/>
                <w:kern w:val="0"/>
                <w:sz w:val="18"/>
                <w:szCs w:val="18"/>
              </w:rPr>
              <w:sym w:font="Wingdings 2" w:char="00A3"/>
            </w:r>
            <w:r>
              <w:rPr>
                <w:rFonts w:hint="eastAsia" w:ascii="宋体" w:hAnsi="宋体" w:cs="宋体"/>
                <w:kern w:val="0"/>
                <w:sz w:val="18"/>
                <w:szCs w:val="18"/>
              </w:rPr>
              <w:t>否</w:t>
            </w:r>
          </w:p>
          <w:p w14:paraId="54341629">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无法确定</w:t>
            </w:r>
          </w:p>
        </w:tc>
      </w:tr>
      <w:tr w14:paraId="6EF2D5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1" w:type="pct"/>
            <w:vAlign w:val="center"/>
          </w:tcPr>
          <w:p w14:paraId="3F92D6B3">
            <w:pPr>
              <w:widowControl/>
              <w:jc w:val="left"/>
              <w:rPr>
                <w:rFonts w:ascii="宋体" w:hAnsi="宋体" w:cs="宋体"/>
                <w:color w:val="000000"/>
                <w:kern w:val="0"/>
                <w:sz w:val="18"/>
                <w:szCs w:val="18"/>
              </w:rPr>
            </w:pPr>
            <w:r>
              <w:rPr>
                <w:rFonts w:hint="eastAsia" w:ascii="宋体" w:hAnsi="宋体" w:cs="宋体"/>
                <w:color w:val="000000"/>
                <w:kern w:val="0"/>
                <w:sz w:val="18"/>
                <w:szCs w:val="18"/>
              </w:rPr>
              <w:t>整体外观鉴定鉴定结论</w:t>
            </w:r>
          </w:p>
        </w:tc>
        <w:tc>
          <w:tcPr>
            <w:tcW w:w="4319" w:type="pct"/>
            <w:gridSpan w:val="6"/>
          </w:tcPr>
          <w:p w14:paraId="33068BFE">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ascii="宋体" w:hAnsi="宋体" w:cs="宋体"/>
                <w:color w:val="000000"/>
                <w:kern w:val="0"/>
                <w:sz w:val="18"/>
                <w:szCs w:val="18"/>
              </w:rPr>
              <w:t xml:space="preserve"> 符合品牌饰品特征（经实物鉴定）</w:t>
            </w:r>
          </w:p>
          <w:p w14:paraId="1D354EE4">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 xml:space="preserve"> </w:t>
            </w:r>
            <w:r>
              <w:rPr>
                <w:rFonts w:ascii="宋体" w:hAnsi="宋体" w:cs="宋体"/>
                <w:color w:val="000000"/>
                <w:kern w:val="0"/>
                <w:sz w:val="18"/>
                <w:szCs w:val="18"/>
              </w:rPr>
              <w:t>不符合品牌饰品特征（经实物鉴定）</w:t>
            </w:r>
          </w:p>
          <w:p w14:paraId="0C1724FE">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ascii="宋体" w:hAnsi="宋体" w:cs="宋体"/>
                <w:color w:val="000000"/>
                <w:kern w:val="0"/>
                <w:sz w:val="18"/>
                <w:szCs w:val="18"/>
              </w:rPr>
              <w:t xml:space="preserve"> 无法判断</w:t>
            </w:r>
          </w:p>
        </w:tc>
      </w:tr>
      <w:tr w14:paraId="3CF50C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7"/>
            <w:vAlign w:val="center"/>
          </w:tcPr>
          <w:p w14:paraId="74ECD6B0">
            <w:pPr>
              <w:widowControl/>
              <w:jc w:val="left"/>
              <w:rPr>
                <w:rFonts w:hint="eastAsia" w:ascii="FZSSK--GBK1-0" w:hAnsi="FZSSK--GBK1-0" w:cs="宋体"/>
                <w:kern w:val="0"/>
                <w:sz w:val="18"/>
                <w:szCs w:val="18"/>
              </w:rPr>
            </w:pPr>
            <w:r>
              <w:rPr>
                <w:rFonts w:hint="eastAsia" w:ascii="黑体" w:hAnsi="黑体" w:eastAsia="黑体" w:cs="宋体"/>
                <w:color w:val="000000"/>
                <w:kern w:val="0"/>
                <w:sz w:val="18"/>
                <w:szCs w:val="18"/>
              </w:rPr>
              <w:t>注：</w:t>
            </w:r>
            <w:r>
              <w:rPr>
                <w:rFonts w:hint="eastAsia" w:ascii="宋体" w:hAnsi="宋体" w:cs="宋体"/>
                <w:color w:val="000000"/>
                <w:kern w:val="0"/>
                <w:sz w:val="18"/>
                <w:szCs w:val="18"/>
              </w:rPr>
              <w:t>使用者由于佩戴（摩擦、汗液、化妆品、游泳、染发剂等）、存放以及护理方式如</w:t>
            </w:r>
            <w:r>
              <w:rPr>
                <w:rFonts w:hint="eastAsia" w:ascii="FZSSK--GBK1-0" w:hAnsi="FZSSK--GBK1-0" w:cs="宋体"/>
                <w:kern w:val="0"/>
                <w:sz w:val="18"/>
                <w:szCs w:val="18"/>
              </w:rPr>
              <w:t>抛</w:t>
            </w:r>
            <w:r>
              <w:rPr>
                <w:rFonts w:ascii="FZSSK--GBK1-0" w:hAnsi="FZSSK--GBK1-0" w:cs="宋体"/>
                <w:kern w:val="0"/>
                <w:sz w:val="18"/>
                <w:szCs w:val="18"/>
              </w:rPr>
              <w:t>光</w:t>
            </w:r>
            <w:r>
              <w:rPr>
                <w:rFonts w:ascii="E" w:hAnsi="E" w:cs="宋体"/>
                <w:kern w:val="0"/>
                <w:sz w:val="18"/>
                <w:szCs w:val="18"/>
              </w:rPr>
              <w:t>、</w:t>
            </w:r>
            <w:r>
              <w:rPr>
                <w:rFonts w:ascii="FZSSK--GBK1-0" w:hAnsi="FZSSK--GBK1-0" w:cs="宋体"/>
                <w:kern w:val="0"/>
                <w:sz w:val="18"/>
                <w:szCs w:val="18"/>
              </w:rPr>
              <w:t>清洗及环境条件可能会极大地影响合金颜色</w:t>
            </w:r>
            <w:r>
              <w:rPr>
                <w:rFonts w:hint="eastAsia" w:ascii="FZSSK--GBK1-0" w:hAnsi="FZSSK--GBK1-0" w:cs="宋体"/>
                <w:kern w:val="0"/>
                <w:sz w:val="18"/>
                <w:szCs w:val="18"/>
              </w:rPr>
              <w:t>或造成与新品首饰整体外观不同如形变等不一致。</w:t>
            </w:r>
          </w:p>
        </w:tc>
      </w:tr>
    </w:tbl>
    <w:p w14:paraId="1FE5FB9B">
      <w:pPr>
        <w:pStyle w:val="233"/>
        <w:numPr>
          <w:ilvl w:val="0"/>
          <w:numId w:val="37"/>
        </w:numPr>
        <w:spacing w:before="120" w:beforeLines="50" w:after="120" w:afterLines="50"/>
        <w:outlineLvl w:val="2"/>
        <w:rPr>
          <w:rFonts w:ascii="黑体" w:hAnsi="黑体" w:eastAsia="黑体" w:cs="Times New Roman"/>
          <w:color w:val="000000"/>
          <w:sz w:val="21"/>
          <w:szCs w:val="21"/>
        </w:rPr>
      </w:pPr>
      <w:r>
        <w:rPr>
          <w:rFonts w:hint="eastAsia" w:ascii="黑体" w:hAnsi="黑体" w:eastAsia="黑体" w:cs="Times New Roman"/>
          <w:color w:val="000000"/>
          <w:sz w:val="21"/>
          <w:szCs w:val="21"/>
        </w:rPr>
        <w:t>工艺细节鉴定</w:t>
      </w:r>
    </w:p>
    <w:p w14:paraId="54F23908">
      <w:pPr>
        <w:widowControl/>
        <w:ind w:left="420"/>
        <w:jc w:val="left"/>
        <w:rPr>
          <w:rFonts w:ascii="宋体" w:hAnsi="Times New Roman" w:cs="Times New Roman"/>
          <w:color w:val="000000"/>
          <w:kern w:val="0"/>
          <w:szCs w:val="21"/>
        </w:rPr>
      </w:pPr>
      <w:r>
        <w:rPr>
          <w:rFonts w:hint="eastAsia" w:ascii="宋体" w:hAnsi="Times New Roman" w:cs="Times New Roman"/>
          <w:color w:val="000000"/>
          <w:kern w:val="0"/>
          <w:szCs w:val="21"/>
        </w:rPr>
        <w:t>根据对比样品，对送检样品工艺细节应符合按表</w:t>
      </w:r>
      <w:r>
        <w:rPr>
          <w:rFonts w:ascii="宋体" w:hAnsi="Times New Roman" w:cs="Times New Roman"/>
          <w:color w:val="000000"/>
          <w:kern w:val="0"/>
          <w:szCs w:val="21"/>
        </w:rPr>
        <w:t>4</w:t>
      </w:r>
      <w:r>
        <w:rPr>
          <w:rFonts w:hint="eastAsia" w:ascii="宋体" w:hAnsi="Times New Roman" w:cs="Times New Roman"/>
          <w:color w:val="000000"/>
          <w:kern w:val="0"/>
          <w:szCs w:val="21"/>
        </w:rPr>
        <w:t>进行鉴定。</w:t>
      </w:r>
    </w:p>
    <w:p w14:paraId="6B82CBEF">
      <w:pPr>
        <w:widowControl/>
        <w:spacing w:before="120" w:beforeLines="50" w:after="120" w:afterLines="50"/>
        <w:ind w:left="709" w:hanging="709"/>
        <w:jc w:val="center"/>
        <w:rPr>
          <w:rFonts w:ascii="黑体" w:hAnsi="黑体" w:eastAsia="黑体" w:cs="Times New Roman"/>
          <w:color w:val="000000"/>
          <w:kern w:val="0"/>
          <w:sz w:val="18"/>
          <w:szCs w:val="18"/>
        </w:rPr>
      </w:pPr>
      <w:r>
        <w:rPr>
          <w:rFonts w:hint="eastAsia" w:ascii="黑体" w:hAnsi="黑体" w:eastAsia="黑体" w:cs="Times New Roman"/>
          <w:color w:val="000000"/>
          <w:kern w:val="0"/>
          <w:sz w:val="18"/>
          <w:szCs w:val="18"/>
        </w:rPr>
        <w:t>表</w:t>
      </w:r>
      <w:r>
        <w:rPr>
          <w:rFonts w:ascii="黑体" w:hAnsi="黑体" w:eastAsia="黑体" w:cs="Times New Roman"/>
          <w:color w:val="000000"/>
          <w:kern w:val="0"/>
          <w:sz w:val="18"/>
          <w:szCs w:val="18"/>
        </w:rPr>
        <w:t xml:space="preserve">4 </w:t>
      </w:r>
      <w:r>
        <w:rPr>
          <w:rFonts w:hint="eastAsia" w:ascii="黑体" w:hAnsi="黑体" w:eastAsia="黑体" w:cs="Times New Roman"/>
          <w:color w:val="000000"/>
          <w:kern w:val="0"/>
          <w:sz w:val="18"/>
          <w:szCs w:val="18"/>
        </w:rPr>
        <w:t>工艺细节的鉴定</w:t>
      </w:r>
    </w:p>
    <w:tbl>
      <w:tblPr>
        <w:tblStyle w:val="29"/>
        <w:tblW w:w="9640" w:type="dxa"/>
        <w:tblInd w:w="-14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27"/>
        <w:gridCol w:w="1194"/>
        <w:gridCol w:w="1195"/>
        <w:gridCol w:w="1195"/>
        <w:gridCol w:w="1195"/>
        <w:gridCol w:w="1195"/>
        <w:gridCol w:w="1195"/>
        <w:gridCol w:w="1344"/>
      </w:tblGrid>
      <w:tr w14:paraId="0CDAC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7" w:type="dxa"/>
            <w:vAlign w:val="center"/>
          </w:tcPr>
          <w:p w14:paraId="13D67C79">
            <w:pPr>
              <w:widowControl/>
              <w:jc w:val="center"/>
              <w:rPr>
                <w:rFonts w:ascii="宋体" w:hAnsi="宋体" w:cs="宋体"/>
                <w:color w:val="000000"/>
                <w:kern w:val="0"/>
                <w:sz w:val="18"/>
                <w:szCs w:val="18"/>
              </w:rPr>
            </w:pPr>
            <w:r>
              <w:rPr>
                <w:rFonts w:hint="eastAsia" w:ascii="宋体" w:hAnsi="宋体" w:cs="宋体"/>
                <w:color w:val="000000"/>
                <w:kern w:val="0"/>
                <w:sz w:val="18"/>
                <w:szCs w:val="18"/>
              </w:rPr>
              <w:t>工艺的鉴定</w:t>
            </w:r>
          </w:p>
        </w:tc>
        <w:tc>
          <w:tcPr>
            <w:tcW w:w="1194" w:type="dxa"/>
            <w:vAlign w:val="center"/>
          </w:tcPr>
          <w:p w14:paraId="2671EFF9">
            <w:pPr>
              <w:widowControl/>
              <w:jc w:val="center"/>
              <w:rPr>
                <w:rFonts w:ascii="宋体" w:hAnsi="宋体" w:cs="宋体"/>
                <w:color w:val="000000"/>
                <w:kern w:val="0"/>
                <w:sz w:val="18"/>
                <w:szCs w:val="18"/>
              </w:rPr>
            </w:pPr>
            <w:r>
              <w:rPr>
                <w:rFonts w:hint="eastAsia" w:ascii="宋体" w:hAnsi="宋体" w:cs="宋体"/>
                <w:color w:val="000000"/>
                <w:kern w:val="0"/>
                <w:sz w:val="18"/>
                <w:szCs w:val="18"/>
              </w:rPr>
              <w:t>镶嵌工艺</w:t>
            </w:r>
          </w:p>
        </w:tc>
        <w:tc>
          <w:tcPr>
            <w:tcW w:w="1195" w:type="dxa"/>
            <w:vAlign w:val="center"/>
          </w:tcPr>
          <w:p w14:paraId="7C0FD7E7">
            <w:pPr>
              <w:widowControl/>
              <w:jc w:val="center"/>
              <w:rPr>
                <w:rFonts w:ascii="宋体" w:hAnsi="宋体" w:cs="宋体"/>
                <w:color w:val="000000"/>
                <w:kern w:val="0"/>
                <w:sz w:val="18"/>
                <w:szCs w:val="18"/>
              </w:rPr>
            </w:pPr>
            <w:r>
              <w:rPr>
                <w:rFonts w:hint="eastAsia" w:ascii="宋体" w:hAnsi="宋体" w:cs="宋体"/>
                <w:color w:val="000000"/>
                <w:kern w:val="0"/>
                <w:sz w:val="18"/>
                <w:szCs w:val="18"/>
              </w:rPr>
              <w:t>雕刻工艺</w:t>
            </w:r>
          </w:p>
        </w:tc>
        <w:tc>
          <w:tcPr>
            <w:tcW w:w="1195" w:type="dxa"/>
            <w:vAlign w:val="center"/>
          </w:tcPr>
          <w:p w14:paraId="06DABED2">
            <w:pPr>
              <w:widowControl/>
              <w:jc w:val="center"/>
              <w:rPr>
                <w:rFonts w:ascii="宋体" w:hAnsi="宋体" w:cs="宋体"/>
                <w:color w:val="000000"/>
                <w:kern w:val="0"/>
                <w:sz w:val="18"/>
                <w:szCs w:val="18"/>
              </w:rPr>
            </w:pPr>
            <w:r>
              <w:rPr>
                <w:rFonts w:hint="eastAsia" w:ascii="宋体" w:hAnsi="宋体" w:cs="宋体"/>
                <w:color w:val="000000"/>
                <w:kern w:val="0"/>
                <w:sz w:val="18"/>
                <w:szCs w:val="18"/>
              </w:rPr>
              <w:t>抛光工艺</w:t>
            </w:r>
          </w:p>
        </w:tc>
        <w:tc>
          <w:tcPr>
            <w:tcW w:w="1195" w:type="dxa"/>
            <w:vAlign w:val="center"/>
          </w:tcPr>
          <w:p w14:paraId="10D7222F">
            <w:pPr>
              <w:widowControl/>
              <w:jc w:val="center"/>
              <w:rPr>
                <w:rFonts w:ascii="宋体" w:hAnsi="宋体" w:cs="宋体"/>
                <w:color w:val="000000"/>
                <w:kern w:val="0"/>
                <w:sz w:val="18"/>
                <w:szCs w:val="18"/>
              </w:rPr>
            </w:pPr>
            <w:r>
              <w:rPr>
                <w:rFonts w:hint="eastAsia" w:ascii="宋体" w:hAnsi="宋体" w:cs="宋体"/>
                <w:color w:val="000000"/>
                <w:kern w:val="0"/>
                <w:sz w:val="18"/>
                <w:szCs w:val="18"/>
              </w:rPr>
              <w:t>拉丝工艺</w:t>
            </w:r>
          </w:p>
        </w:tc>
        <w:tc>
          <w:tcPr>
            <w:tcW w:w="1195" w:type="dxa"/>
            <w:vAlign w:val="center"/>
          </w:tcPr>
          <w:p w14:paraId="284718C7">
            <w:pPr>
              <w:widowControl/>
              <w:jc w:val="center"/>
              <w:rPr>
                <w:rFonts w:ascii="宋体" w:hAnsi="宋体" w:cs="宋体"/>
                <w:color w:val="000000"/>
                <w:kern w:val="0"/>
                <w:sz w:val="18"/>
                <w:szCs w:val="18"/>
              </w:rPr>
            </w:pPr>
            <w:r>
              <w:rPr>
                <w:rFonts w:hint="eastAsia" w:ascii="宋体" w:hAnsi="宋体" w:cs="宋体"/>
                <w:color w:val="000000"/>
                <w:kern w:val="0"/>
                <w:sz w:val="18"/>
                <w:szCs w:val="18"/>
              </w:rPr>
              <w:t>花丝工艺</w:t>
            </w:r>
          </w:p>
        </w:tc>
        <w:tc>
          <w:tcPr>
            <w:tcW w:w="1195" w:type="dxa"/>
            <w:vAlign w:val="center"/>
          </w:tcPr>
          <w:p w14:paraId="4A8E4A82">
            <w:pPr>
              <w:widowControl/>
              <w:jc w:val="center"/>
              <w:rPr>
                <w:rFonts w:ascii="宋体" w:hAnsi="宋体" w:cs="宋体"/>
                <w:color w:val="000000"/>
                <w:kern w:val="0"/>
                <w:sz w:val="18"/>
                <w:szCs w:val="18"/>
              </w:rPr>
            </w:pPr>
            <w:r>
              <w:rPr>
                <w:rFonts w:hint="eastAsia" w:ascii="宋体" w:hAnsi="宋体" w:cs="宋体"/>
                <w:color w:val="000000"/>
                <w:kern w:val="0"/>
                <w:sz w:val="18"/>
                <w:szCs w:val="18"/>
              </w:rPr>
              <w:t>冲压工艺</w:t>
            </w:r>
          </w:p>
        </w:tc>
        <w:tc>
          <w:tcPr>
            <w:tcW w:w="1344" w:type="dxa"/>
            <w:vAlign w:val="center"/>
          </w:tcPr>
          <w:p w14:paraId="4FCD2A41">
            <w:pPr>
              <w:widowControl/>
              <w:jc w:val="center"/>
              <w:rPr>
                <w:rFonts w:ascii="宋体" w:hAnsi="宋体" w:cs="宋体"/>
                <w:color w:val="000000"/>
                <w:kern w:val="0"/>
                <w:sz w:val="18"/>
                <w:szCs w:val="18"/>
              </w:rPr>
            </w:pPr>
            <w:r>
              <w:rPr>
                <w:rFonts w:hint="eastAsia" w:ascii="宋体" w:hAnsi="宋体" w:cs="宋体"/>
                <w:color w:val="000000"/>
                <w:kern w:val="0"/>
                <w:sz w:val="18"/>
                <w:szCs w:val="18"/>
              </w:rPr>
              <w:t>细节处理工艺</w:t>
            </w:r>
          </w:p>
        </w:tc>
      </w:tr>
      <w:tr w14:paraId="03FF0A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7" w:type="dxa"/>
            <w:vAlign w:val="center"/>
          </w:tcPr>
          <w:p w14:paraId="41429AEB">
            <w:pPr>
              <w:widowControl/>
              <w:jc w:val="center"/>
              <w:rPr>
                <w:rFonts w:ascii="宋体" w:hAnsi="宋体" w:cs="宋体"/>
                <w:color w:val="000000"/>
                <w:kern w:val="0"/>
                <w:sz w:val="18"/>
                <w:szCs w:val="18"/>
              </w:rPr>
            </w:pPr>
            <w:r>
              <w:rPr>
                <w:rFonts w:hint="eastAsia" w:ascii="宋体" w:hAnsi="宋体" w:cs="宋体"/>
                <w:color w:val="000000"/>
                <w:kern w:val="0"/>
                <w:sz w:val="18"/>
                <w:szCs w:val="18"/>
              </w:rPr>
              <w:t>鉴定结果</w:t>
            </w:r>
          </w:p>
        </w:tc>
        <w:tc>
          <w:tcPr>
            <w:tcW w:w="1194" w:type="dxa"/>
            <w:vAlign w:val="center"/>
          </w:tcPr>
          <w:p w14:paraId="333E0443">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是</w:t>
            </w:r>
          </w:p>
          <w:p w14:paraId="6D363E7A">
            <w:pPr>
              <w:widowControl/>
              <w:jc w:val="left"/>
              <w:rPr>
                <w:rFonts w:ascii="宋体" w:hAnsi="宋体" w:cs="宋体"/>
                <w:kern w:val="0"/>
                <w:sz w:val="18"/>
                <w:szCs w:val="18"/>
              </w:rPr>
            </w:pPr>
            <w:r>
              <w:rPr>
                <w:rFonts w:hint="eastAsia" w:ascii="宋体" w:hAnsi="宋体" w:cs="宋体"/>
                <w:color w:val="000000"/>
                <w:kern w:val="0"/>
                <w:sz w:val="18"/>
                <w:szCs w:val="18"/>
              </w:rPr>
              <w:sym w:font="Wingdings 2" w:char="00A3"/>
            </w:r>
            <w:r>
              <w:rPr>
                <w:rFonts w:hint="eastAsia" w:ascii="宋体" w:hAnsi="宋体" w:cs="宋体"/>
                <w:kern w:val="0"/>
                <w:sz w:val="18"/>
                <w:szCs w:val="18"/>
              </w:rPr>
              <w:t>否</w:t>
            </w:r>
          </w:p>
          <w:p w14:paraId="5507BABE">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无法确定</w:t>
            </w:r>
          </w:p>
        </w:tc>
        <w:tc>
          <w:tcPr>
            <w:tcW w:w="1195" w:type="dxa"/>
            <w:vAlign w:val="center"/>
          </w:tcPr>
          <w:p w14:paraId="2493DE92">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是</w:t>
            </w:r>
          </w:p>
          <w:p w14:paraId="57CE4ED2">
            <w:pPr>
              <w:widowControl/>
              <w:jc w:val="left"/>
              <w:rPr>
                <w:rFonts w:ascii="宋体" w:hAnsi="宋体" w:cs="宋体"/>
                <w:kern w:val="0"/>
                <w:sz w:val="18"/>
                <w:szCs w:val="18"/>
              </w:rPr>
            </w:pPr>
            <w:r>
              <w:rPr>
                <w:rFonts w:hint="eastAsia" w:ascii="宋体" w:hAnsi="宋体" w:cs="宋体"/>
                <w:color w:val="000000"/>
                <w:kern w:val="0"/>
                <w:sz w:val="18"/>
                <w:szCs w:val="18"/>
              </w:rPr>
              <w:sym w:font="Wingdings 2" w:char="00A3"/>
            </w:r>
            <w:r>
              <w:rPr>
                <w:rFonts w:hint="eastAsia" w:ascii="宋体" w:hAnsi="宋体" w:cs="宋体"/>
                <w:kern w:val="0"/>
                <w:sz w:val="18"/>
                <w:szCs w:val="18"/>
              </w:rPr>
              <w:t>否</w:t>
            </w:r>
          </w:p>
          <w:p w14:paraId="20B2A894">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无法确定</w:t>
            </w:r>
          </w:p>
        </w:tc>
        <w:tc>
          <w:tcPr>
            <w:tcW w:w="1195" w:type="dxa"/>
          </w:tcPr>
          <w:p w14:paraId="00FA0AE3">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是</w:t>
            </w:r>
          </w:p>
          <w:p w14:paraId="13806722">
            <w:pPr>
              <w:widowControl/>
              <w:jc w:val="left"/>
              <w:rPr>
                <w:rFonts w:ascii="宋体" w:hAnsi="宋体" w:cs="宋体"/>
                <w:kern w:val="0"/>
                <w:sz w:val="18"/>
                <w:szCs w:val="18"/>
              </w:rPr>
            </w:pPr>
            <w:r>
              <w:rPr>
                <w:rFonts w:hint="eastAsia" w:ascii="宋体" w:hAnsi="宋体" w:cs="宋体"/>
                <w:color w:val="000000"/>
                <w:kern w:val="0"/>
                <w:sz w:val="18"/>
                <w:szCs w:val="18"/>
              </w:rPr>
              <w:sym w:font="Wingdings 2" w:char="00A3"/>
            </w:r>
            <w:r>
              <w:rPr>
                <w:rFonts w:hint="eastAsia" w:ascii="宋体" w:hAnsi="宋体" w:cs="宋体"/>
                <w:kern w:val="0"/>
                <w:sz w:val="18"/>
                <w:szCs w:val="18"/>
              </w:rPr>
              <w:t>否</w:t>
            </w:r>
          </w:p>
          <w:p w14:paraId="40012D76">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无法确定</w:t>
            </w:r>
          </w:p>
        </w:tc>
        <w:tc>
          <w:tcPr>
            <w:tcW w:w="1195" w:type="dxa"/>
          </w:tcPr>
          <w:p w14:paraId="0839F05C">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是</w:t>
            </w:r>
          </w:p>
          <w:p w14:paraId="31C6A52E">
            <w:pPr>
              <w:widowControl/>
              <w:jc w:val="left"/>
              <w:rPr>
                <w:rFonts w:ascii="宋体" w:hAnsi="宋体" w:cs="宋体"/>
                <w:kern w:val="0"/>
                <w:sz w:val="18"/>
                <w:szCs w:val="18"/>
              </w:rPr>
            </w:pPr>
            <w:r>
              <w:rPr>
                <w:rFonts w:hint="eastAsia" w:ascii="宋体" w:hAnsi="宋体" w:cs="宋体"/>
                <w:color w:val="000000"/>
                <w:kern w:val="0"/>
                <w:sz w:val="18"/>
                <w:szCs w:val="18"/>
              </w:rPr>
              <w:sym w:font="Wingdings 2" w:char="00A3"/>
            </w:r>
            <w:r>
              <w:rPr>
                <w:rFonts w:hint="eastAsia" w:ascii="宋体" w:hAnsi="宋体" w:cs="宋体"/>
                <w:kern w:val="0"/>
                <w:sz w:val="18"/>
                <w:szCs w:val="18"/>
              </w:rPr>
              <w:t>否</w:t>
            </w:r>
          </w:p>
          <w:p w14:paraId="2CBBB28C">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无法确定</w:t>
            </w:r>
          </w:p>
        </w:tc>
        <w:tc>
          <w:tcPr>
            <w:tcW w:w="1195" w:type="dxa"/>
          </w:tcPr>
          <w:p w14:paraId="37BD80B9">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是</w:t>
            </w:r>
          </w:p>
          <w:p w14:paraId="7C000734">
            <w:pPr>
              <w:widowControl/>
              <w:jc w:val="left"/>
              <w:rPr>
                <w:rFonts w:ascii="宋体" w:hAnsi="宋体" w:cs="宋体"/>
                <w:kern w:val="0"/>
                <w:sz w:val="18"/>
                <w:szCs w:val="18"/>
              </w:rPr>
            </w:pPr>
            <w:r>
              <w:rPr>
                <w:rFonts w:hint="eastAsia" w:ascii="宋体" w:hAnsi="宋体" w:cs="宋体"/>
                <w:color w:val="000000"/>
                <w:kern w:val="0"/>
                <w:sz w:val="18"/>
                <w:szCs w:val="18"/>
              </w:rPr>
              <w:sym w:font="Wingdings 2" w:char="00A3"/>
            </w:r>
            <w:r>
              <w:rPr>
                <w:rFonts w:hint="eastAsia" w:ascii="宋体" w:hAnsi="宋体" w:cs="宋体"/>
                <w:kern w:val="0"/>
                <w:sz w:val="18"/>
                <w:szCs w:val="18"/>
              </w:rPr>
              <w:t>否</w:t>
            </w:r>
          </w:p>
          <w:p w14:paraId="28215977">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无法确定</w:t>
            </w:r>
          </w:p>
        </w:tc>
        <w:tc>
          <w:tcPr>
            <w:tcW w:w="1195" w:type="dxa"/>
          </w:tcPr>
          <w:p w14:paraId="22720293">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是</w:t>
            </w:r>
          </w:p>
          <w:p w14:paraId="0AD97ACD">
            <w:pPr>
              <w:widowControl/>
              <w:jc w:val="left"/>
              <w:rPr>
                <w:rFonts w:ascii="宋体" w:hAnsi="宋体" w:cs="宋体"/>
                <w:kern w:val="0"/>
                <w:sz w:val="18"/>
                <w:szCs w:val="18"/>
              </w:rPr>
            </w:pPr>
            <w:r>
              <w:rPr>
                <w:rFonts w:hint="eastAsia" w:ascii="宋体" w:hAnsi="宋体" w:cs="宋体"/>
                <w:color w:val="000000"/>
                <w:kern w:val="0"/>
                <w:sz w:val="18"/>
                <w:szCs w:val="18"/>
              </w:rPr>
              <w:sym w:font="Wingdings 2" w:char="00A3"/>
            </w:r>
            <w:r>
              <w:rPr>
                <w:rFonts w:hint="eastAsia" w:ascii="宋体" w:hAnsi="宋体" w:cs="宋体"/>
                <w:kern w:val="0"/>
                <w:sz w:val="18"/>
                <w:szCs w:val="18"/>
              </w:rPr>
              <w:t>否</w:t>
            </w:r>
          </w:p>
          <w:p w14:paraId="5448C331">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无法确定</w:t>
            </w:r>
          </w:p>
        </w:tc>
        <w:tc>
          <w:tcPr>
            <w:tcW w:w="1344" w:type="dxa"/>
          </w:tcPr>
          <w:p w14:paraId="06751BE6">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是</w:t>
            </w:r>
          </w:p>
          <w:p w14:paraId="55BC0C03">
            <w:pPr>
              <w:widowControl/>
              <w:jc w:val="left"/>
              <w:rPr>
                <w:rFonts w:ascii="宋体" w:hAnsi="宋体" w:cs="宋体"/>
                <w:kern w:val="0"/>
                <w:sz w:val="18"/>
                <w:szCs w:val="18"/>
              </w:rPr>
            </w:pPr>
            <w:r>
              <w:rPr>
                <w:rFonts w:hint="eastAsia" w:ascii="宋体" w:hAnsi="宋体" w:cs="宋体"/>
                <w:color w:val="000000"/>
                <w:kern w:val="0"/>
                <w:sz w:val="18"/>
                <w:szCs w:val="18"/>
              </w:rPr>
              <w:sym w:font="Wingdings 2" w:char="00A3"/>
            </w:r>
            <w:r>
              <w:rPr>
                <w:rFonts w:hint="eastAsia" w:ascii="宋体" w:hAnsi="宋体" w:cs="宋体"/>
                <w:kern w:val="0"/>
                <w:sz w:val="18"/>
                <w:szCs w:val="18"/>
              </w:rPr>
              <w:t>否</w:t>
            </w:r>
          </w:p>
          <w:p w14:paraId="2A25B78B">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无法确定</w:t>
            </w:r>
          </w:p>
        </w:tc>
      </w:tr>
      <w:tr w14:paraId="51C3DC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7" w:type="dxa"/>
            <w:vAlign w:val="center"/>
          </w:tcPr>
          <w:p w14:paraId="6A528E6B">
            <w:pPr>
              <w:widowControl/>
              <w:jc w:val="center"/>
              <w:rPr>
                <w:rFonts w:ascii="宋体" w:hAnsi="宋体" w:cs="宋体"/>
                <w:color w:val="000000"/>
                <w:kern w:val="0"/>
                <w:sz w:val="18"/>
                <w:szCs w:val="18"/>
              </w:rPr>
            </w:pPr>
            <w:r>
              <w:rPr>
                <w:rFonts w:hint="eastAsia" w:ascii="宋体" w:hAnsi="宋体" w:cs="宋体"/>
                <w:color w:val="000000"/>
                <w:kern w:val="0"/>
                <w:sz w:val="18"/>
                <w:szCs w:val="18"/>
              </w:rPr>
              <w:t>工艺鉴定结论</w:t>
            </w:r>
          </w:p>
        </w:tc>
        <w:tc>
          <w:tcPr>
            <w:tcW w:w="8513" w:type="dxa"/>
            <w:gridSpan w:val="7"/>
          </w:tcPr>
          <w:p w14:paraId="03859698">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ascii="宋体" w:hAnsi="宋体" w:cs="宋体"/>
                <w:color w:val="000000"/>
                <w:kern w:val="0"/>
                <w:sz w:val="18"/>
                <w:szCs w:val="18"/>
              </w:rPr>
              <w:t xml:space="preserve"> 符合品牌饰品特征（经实物鉴定）</w:t>
            </w:r>
          </w:p>
          <w:p w14:paraId="36EEFF4A">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 xml:space="preserve"> </w:t>
            </w:r>
            <w:r>
              <w:rPr>
                <w:rFonts w:ascii="宋体" w:hAnsi="宋体" w:cs="宋体"/>
                <w:color w:val="000000"/>
                <w:kern w:val="0"/>
                <w:sz w:val="18"/>
                <w:szCs w:val="18"/>
              </w:rPr>
              <w:t>不符合品牌饰品特征（经实物鉴定）</w:t>
            </w:r>
          </w:p>
          <w:p w14:paraId="301932F0">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ascii="宋体" w:hAnsi="宋体" w:cs="宋体"/>
                <w:color w:val="000000"/>
                <w:kern w:val="0"/>
                <w:sz w:val="18"/>
                <w:szCs w:val="18"/>
              </w:rPr>
              <w:t xml:space="preserve"> 无法判断</w:t>
            </w:r>
          </w:p>
        </w:tc>
      </w:tr>
    </w:tbl>
    <w:p w14:paraId="61F5E197">
      <w:pPr>
        <w:widowControl/>
        <w:spacing w:before="120" w:beforeLines="50" w:after="120" w:afterLines="50"/>
        <w:outlineLvl w:val="1"/>
        <w:rPr>
          <w:rFonts w:ascii="黑体" w:hAnsi="Times New Roman" w:eastAsia="黑体" w:cs="Times New Roman"/>
          <w:kern w:val="0"/>
          <w:szCs w:val="20"/>
        </w:rPr>
      </w:pPr>
    </w:p>
    <w:p w14:paraId="30DC4AA7">
      <w:pPr>
        <w:pStyle w:val="233"/>
        <w:numPr>
          <w:ilvl w:val="0"/>
          <w:numId w:val="37"/>
        </w:numPr>
        <w:spacing w:before="120" w:beforeLines="50" w:after="120" w:afterLines="50"/>
        <w:outlineLvl w:val="2"/>
        <w:rPr>
          <w:rFonts w:ascii="黑体" w:hAnsi="黑体" w:eastAsia="黑体" w:cs="Times New Roman"/>
          <w:color w:val="FF0000"/>
          <w:sz w:val="21"/>
          <w:szCs w:val="21"/>
        </w:rPr>
      </w:pPr>
      <w:r>
        <w:rPr>
          <w:rFonts w:hint="eastAsia" w:ascii="黑体" w:hAnsi="黑体" w:eastAsia="黑体" w:cs="Times New Roman"/>
          <w:color w:val="FF0000"/>
          <w:sz w:val="21"/>
          <w:szCs w:val="21"/>
        </w:rPr>
        <w:t>材质的鉴定</w:t>
      </w:r>
    </w:p>
    <w:p w14:paraId="0E28B89F">
      <w:pPr>
        <w:widowControl/>
        <w:autoSpaceDE w:val="0"/>
        <w:autoSpaceDN w:val="0"/>
        <w:ind w:left="420"/>
        <w:jc w:val="left"/>
        <w:rPr>
          <w:rFonts w:ascii="宋体" w:hAnsi="Times New Roman" w:cs="Times New Roman"/>
          <w:kern w:val="0"/>
          <w:szCs w:val="20"/>
        </w:rPr>
      </w:pPr>
      <w:r>
        <w:rPr>
          <w:rFonts w:hint="eastAsia" w:ascii="宋体" w:hAnsi="Times New Roman" w:cs="Times New Roman"/>
          <w:kern w:val="0"/>
          <w:szCs w:val="20"/>
        </w:rPr>
        <w:t>对送检样品的材质和分级可参照相关标准。根据对比样品，常见饰品用材质按表</w:t>
      </w:r>
      <w:r>
        <w:rPr>
          <w:rFonts w:ascii="宋体" w:hAnsi="Times New Roman" w:cs="Times New Roman"/>
          <w:kern w:val="0"/>
          <w:szCs w:val="20"/>
        </w:rPr>
        <w:t>5</w:t>
      </w:r>
      <w:r>
        <w:rPr>
          <w:rFonts w:hint="eastAsia" w:ascii="宋体" w:hAnsi="Times New Roman" w:cs="Times New Roman"/>
          <w:kern w:val="0"/>
          <w:szCs w:val="20"/>
        </w:rPr>
        <w:t>进行鉴定。</w:t>
      </w:r>
    </w:p>
    <w:p w14:paraId="4B3F57F8">
      <w:pPr>
        <w:widowControl/>
        <w:spacing w:before="120" w:beforeLines="50" w:after="120" w:afterLines="50"/>
        <w:ind w:left="709" w:hanging="709"/>
        <w:jc w:val="center"/>
        <w:rPr>
          <w:rFonts w:ascii="黑体" w:hAnsi="黑体" w:eastAsia="黑体" w:cs="Times New Roman"/>
          <w:color w:val="000000"/>
          <w:kern w:val="0"/>
          <w:sz w:val="18"/>
          <w:szCs w:val="18"/>
        </w:rPr>
      </w:pPr>
      <w:r>
        <w:rPr>
          <w:rFonts w:hint="eastAsia" w:ascii="黑体" w:hAnsi="黑体" w:eastAsia="黑体" w:cs="Times New Roman"/>
          <w:color w:val="000000"/>
          <w:kern w:val="0"/>
          <w:sz w:val="18"/>
          <w:szCs w:val="18"/>
        </w:rPr>
        <w:t>表</w:t>
      </w:r>
      <w:r>
        <w:rPr>
          <w:rFonts w:ascii="黑体" w:hAnsi="黑体" w:eastAsia="黑体" w:cs="Times New Roman"/>
          <w:color w:val="000000"/>
          <w:kern w:val="0"/>
          <w:sz w:val="18"/>
          <w:szCs w:val="18"/>
        </w:rPr>
        <w:t xml:space="preserve">5 </w:t>
      </w:r>
      <w:r>
        <w:rPr>
          <w:rFonts w:hint="eastAsia" w:ascii="黑体" w:hAnsi="黑体" w:eastAsia="黑体" w:cs="Times New Roman"/>
          <w:color w:val="000000"/>
          <w:kern w:val="0"/>
          <w:sz w:val="18"/>
          <w:szCs w:val="18"/>
        </w:rPr>
        <w:t>材质的鉴定</w:t>
      </w:r>
    </w:p>
    <w:tbl>
      <w:tblPr>
        <w:tblStyle w:val="29"/>
        <w:tblW w:w="920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8"/>
        <w:gridCol w:w="1672"/>
        <w:gridCol w:w="1701"/>
        <w:gridCol w:w="1559"/>
        <w:gridCol w:w="1701"/>
        <w:gridCol w:w="1588"/>
      </w:tblGrid>
      <w:tr w14:paraId="07164A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8" w:type="dxa"/>
            <w:vAlign w:val="center"/>
          </w:tcPr>
          <w:p w14:paraId="581EA560">
            <w:pPr>
              <w:widowControl/>
              <w:jc w:val="center"/>
              <w:rPr>
                <w:rFonts w:ascii="宋体" w:hAnsi="宋体" w:cs="宋体"/>
                <w:color w:val="000000"/>
                <w:kern w:val="0"/>
                <w:sz w:val="18"/>
                <w:szCs w:val="18"/>
              </w:rPr>
            </w:pPr>
            <w:r>
              <w:rPr>
                <w:rFonts w:hint="eastAsia" w:ascii="宋体" w:hAnsi="宋体" w:cs="宋体"/>
                <w:color w:val="000000"/>
                <w:kern w:val="0"/>
                <w:sz w:val="18"/>
                <w:szCs w:val="18"/>
              </w:rPr>
              <w:t>材质鉴定</w:t>
            </w:r>
          </w:p>
        </w:tc>
        <w:tc>
          <w:tcPr>
            <w:tcW w:w="1672" w:type="dxa"/>
            <w:vAlign w:val="center"/>
          </w:tcPr>
          <w:p w14:paraId="2ABB3D60">
            <w:pPr>
              <w:widowControl/>
              <w:jc w:val="center"/>
              <w:rPr>
                <w:rFonts w:ascii="宋体" w:hAnsi="宋体" w:cs="宋体"/>
                <w:color w:val="000000"/>
                <w:kern w:val="0"/>
                <w:sz w:val="18"/>
                <w:szCs w:val="18"/>
              </w:rPr>
            </w:pPr>
            <w:r>
              <w:rPr>
                <w:rFonts w:hint="eastAsia" w:ascii="宋体" w:hAnsi="宋体" w:cs="宋体"/>
                <w:color w:val="000000"/>
                <w:kern w:val="0"/>
                <w:sz w:val="18"/>
                <w:szCs w:val="18"/>
              </w:rPr>
              <w:t>钻石</w:t>
            </w:r>
          </w:p>
        </w:tc>
        <w:tc>
          <w:tcPr>
            <w:tcW w:w="1701" w:type="dxa"/>
            <w:vAlign w:val="center"/>
          </w:tcPr>
          <w:p w14:paraId="6C2E5C1F">
            <w:pPr>
              <w:widowControl/>
              <w:jc w:val="center"/>
              <w:rPr>
                <w:rFonts w:ascii="宋体" w:hAnsi="宋体" w:cs="宋体"/>
                <w:color w:val="000000"/>
                <w:kern w:val="0"/>
                <w:sz w:val="18"/>
                <w:szCs w:val="18"/>
              </w:rPr>
            </w:pPr>
            <w:r>
              <w:rPr>
                <w:rFonts w:hint="eastAsia" w:ascii="宋体" w:hAnsi="宋体" w:cs="宋体"/>
                <w:color w:val="000000"/>
                <w:kern w:val="0"/>
                <w:sz w:val="18"/>
                <w:szCs w:val="18"/>
              </w:rPr>
              <w:t>贵金属</w:t>
            </w:r>
          </w:p>
        </w:tc>
        <w:tc>
          <w:tcPr>
            <w:tcW w:w="1559" w:type="dxa"/>
            <w:vAlign w:val="center"/>
          </w:tcPr>
          <w:p w14:paraId="4990FFB5">
            <w:pPr>
              <w:widowControl/>
              <w:jc w:val="center"/>
              <w:rPr>
                <w:rFonts w:ascii="宋体" w:hAnsi="宋体" w:cs="宋体"/>
                <w:color w:val="000000"/>
                <w:kern w:val="0"/>
                <w:sz w:val="18"/>
                <w:szCs w:val="18"/>
              </w:rPr>
            </w:pPr>
            <w:r>
              <w:rPr>
                <w:rFonts w:hint="eastAsia" w:ascii="宋体" w:hAnsi="宋体" w:cs="宋体"/>
                <w:color w:val="000000"/>
                <w:kern w:val="0"/>
                <w:sz w:val="18"/>
                <w:szCs w:val="18"/>
              </w:rPr>
              <w:t>珍珠</w:t>
            </w:r>
          </w:p>
        </w:tc>
        <w:tc>
          <w:tcPr>
            <w:tcW w:w="1701" w:type="dxa"/>
            <w:vAlign w:val="center"/>
          </w:tcPr>
          <w:p w14:paraId="5AAE928D">
            <w:pPr>
              <w:widowControl/>
              <w:jc w:val="center"/>
              <w:rPr>
                <w:rFonts w:ascii="宋体" w:hAnsi="宋体" w:cs="宋体"/>
                <w:color w:val="000000"/>
                <w:kern w:val="0"/>
                <w:sz w:val="18"/>
                <w:szCs w:val="18"/>
              </w:rPr>
            </w:pPr>
            <w:r>
              <w:rPr>
                <w:rFonts w:hint="eastAsia" w:ascii="宋体" w:hAnsi="宋体" w:cs="宋体"/>
                <w:color w:val="000000"/>
                <w:kern w:val="0"/>
                <w:sz w:val="18"/>
                <w:szCs w:val="18"/>
              </w:rPr>
              <w:t>水晶</w:t>
            </w:r>
          </w:p>
        </w:tc>
        <w:tc>
          <w:tcPr>
            <w:tcW w:w="1588" w:type="dxa"/>
            <w:vAlign w:val="center"/>
          </w:tcPr>
          <w:p w14:paraId="76391638">
            <w:pPr>
              <w:widowControl/>
              <w:jc w:val="center"/>
              <w:rPr>
                <w:rFonts w:ascii="宋体" w:hAnsi="宋体" w:cs="宋体"/>
                <w:color w:val="000000"/>
                <w:kern w:val="0"/>
                <w:sz w:val="18"/>
                <w:szCs w:val="18"/>
              </w:rPr>
            </w:pPr>
            <w:r>
              <w:rPr>
                <w:rFonts w:hint="eastAsia" w:ascii="宋体" w:hAnsi="宋体" w:cs="宋体"/>
                <w:color w:val="000000"/>
                <w:kern w:val="0"/>
                <w:sz w:val="18"/>
                <w:szCs w:val="18"/>
              </w:rPr>
              <w:t>其他</w:t>
            </w:r>
          </w:p>
        </w:tc>
      </w:tr>
      <w:tr w14:paraId="585C21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8" w:type="dxa"/>
            <w:vAlign w:val="center"/>
          </w:tcPr>
          <w:p w14:paraId="7D430F78">
            <w:pPr>
              <w:widowControl/>
              <w:jc w:val="center"/>
              <w:rPr>
                <w:rFonts w:ascii="宋体" w:hAnsi="宋体" w:cs="宋体"/>
                <w:color w:val="000000"/>
                <w:kern w:val="0"/>
                <w:sz w:val="18"/>
                <w:szCs w:val="18"/>
              </w:rPr>
            </w:pPr>
            <w:r>
              <w:rPr>
                <w:rFonts w:hint="eastAsia" w:ascii="宋体" w:hAnsi="宋体" w:cs="宋体"/>
                <w:color w:val="000000"/>
                <w:kern w:val="0"/>
                <w:sz w:val="18"/>
                <w:szCs w:val="18"/>
              </w:rPr>
              <w:t>鉴定结果</w:t>
            </w:r>
          </w:p>
        </w:tc>
        <w:tc>
          <w:tcPr>
            <w:tcW w:w="1672" w:type="dxa"/>
            <w:vAlign w:val="center"/>
          </w:tcPr>
          <w:p w14:paraId="67826C9B">
            <w:pPr>
              <w:widowControl/>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是</w:t>
            </w:r>
          </w:p>
          <w:p w14:paraId="118D5FF6">
            <w:pPr>
              <w:widowControl/>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否</w:t>
            </w:r>
          </w:p>
          <w:p w14:paraId="62976029">
            <w:pPr>
              <w:widowControl/>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无法确定</w:t>
            </w:r>
          </w:p>
        </w:tc>
        <w:tc>
          <w:tcPr>
            <w:tcW w:w="1701" w:type="dxa"/>
            <w:vAlign w:val="center"/>
          </w:tcPr>
          <w:p w14:paraId="11971CA0">
            <w:pPr>
              <w:widowControl/>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是</w:t>
            </w:r>
          </w:p>
          <w:p w14:paraId="6D31E12B">
            <w:pPr>
              <w:widowControl/>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否</w:t>
            </w:r>
          </w:p>
          <w:p w14:paraId="75D330CB">
            <w:pPr>
              <w:widowControl/>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无法确定</w:t>
            </w:r>
          </w:p>
        </w:tc>
        <w:tc>
          <w:tcPr>
            <w:tcW w:w="1559" w:type="dxa"/>
            <w:vAlign w:val="center"/>
          </w:tcPr>
          <w:p w14:paraId="2D0CC4AD">
            <w:pPr>
              <w:widowControl/>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是</w:t>
            </w:r>
          </w:p>
          <w:p w14:paraId="5DE1E2C8">
            <w:pPr>
              <w:widowControl/>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否</w:t>
            </w:r>
          </w:p>
          <w:p w14:paraId="56767ABC">
            <w:pPr>
              <w:widowControl/>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无法确定</w:t>
            </w:r>
          </w:p>
        </w:tc>
        <w:tc>
          <w:tcPr>
            <w:tcW w:w="1701" w:type="dxa"/>
            <w:vAlign w:val="center"/>
          </w:tcPr>
          <w:p w14:paraId="7F715BEB">
            <w:pPr>
              <w:widowControl/>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是</w:t>
            </w:r>
          </w:p>
          <w:p w14:paraId="3AE04D78">
            <w:pPr>
              <w:widowControl/>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否</w:t>
            </w:r>
          </w:p>
          <w:p w14:paraId="618CDC73">
            <w:pPr>
              <w:widowControl/>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无法确定</w:t>
            </w:r>
          </w:p>
        </w:tc>
        <w:tc>
          <w:tcPr>
            <w:tcW w:w="1588" w:type="dxa"/>
            <w:vAlign w:val="center"/>
          </w:tcPr>
          <w:p w14:paraId="1BCC6035">
            <w:pPr>
              <w:widowControl/>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是</w:t>
            </w:r>
          </w:p>
          <w:p w14:paraId="0A9389D4">
            <w:pPr>
              <w:widowControl/>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否</w:t>
            </w:r>
          </w:p>
          <w:p w14:paraId="0BA1C701">
            <w:pPr>
              <w:widowControl/>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无法确定</w:t>
            </w:r>
          </w:p>
        </w:tc>
      </w:tr>
      <w:tr w14:paraId="73FA4A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8" w:type="dxa"/>
            <w:vAlign w:val="center"/>
          </w:tcPr>
          <w:p w14:paraId="618E02D2">
            <w:pPr>
              <w:widowControl/>
              <w:jc w:val="center"/>
              <w:rPr>
                <w:rFonts w:ascii="宋体" w:hAnsi="宋体" w:cs="宋体"/>
                <w:color w:val="000000"/>
                <w:kern w:val="0"/>
                <w:sz w:val="18"/>
                <w:szCs w:val="18"/>
              </w:rPr>
            </w:pPr>
            <w:r>
              <w:rPr>
                <w:rFonts w:hint="eastAsia" w:ascii="宋体" w:hAnsi="宋体" w:cs="宋体"/>
                <w:color w:val="000000"/>
                <w:kern w:val="0"/>
                <w:sz w:val="18"/>
                <w:szCs w:val="18"/>
              </w:rPr>
              <w:t>材质鉴定结论</w:t>
            </w:r>
          </w:p>
        </w:tc>
        <w:tc>
          <w:tcPr>
            <w:tcW w:w="8221" w:type="dxa"/>
            <w:gridSpan w:val="5"/>
            <w:vAlign w:val="center"/>
          </w:tcPr>
          <w:p w14:paraId="48E997E4">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ascii="宋体" w:hAnsi="宋体" w:cs="宋体"/>
                <w:color w:val="000000"/>
                <w:kern w:val="0"/>
                <w:sz w:val="18"/>
                <w:szCs w:val="18"/>
              </w:rPr>
              <w:t xml:space="preserve"> 符合品牌饰品特征（经实物鉴定）</w:t>
            </w:r>
          </w:p>
          <w:p w14:paraId="4474D999">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 xml:space="preserve"> </w:t>
            </w:r>
            <w:r>
              <w:rPr>
                <w:rFonts w:ascii="宋体" w:hAnsi="宋体" w:cs="宋体"/>
                <w:color w:val="000000"/>
                <w:kern w:val="0"/>
                <w:sz w:val="18"/>
                <w:szCs w:val="18"/>
              </w:rPr>
              <w:t>不符合品牌饰品特征（经实物鉴定）</w:t>
            </w:r>
          </w:p>
          <w:p w14:paraId="624B0B38">
            <w:pPr>
              <w:widowControl/>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ascii="宋体" w:hAnsi="宋体" w:cs="宋体"/>
                <w:color w:val="000000"/>
                <w:kern w:val="0"/>
                <w:sz w:val="18"/>
                <w:szCs w:val="18"/>
              </w:rPr>
              <w:t xml:space="preserve"> 无法判断</w:t>
            </w:r>
          </w:p>
        </w:tc>
      </w:tr>
      <w:tr w14:paraId="0F6734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8" w:type="dxa"/>
            <w:vAlign w:val="center"/>
          </w:tcPr>
          <w:p w14:paraId="641AEDF3">
            <w:pPr>
              <w:widowControl/>
              <w:jc w:val="center"/>
              <w:rPr>
                <w:rFonts w:ascii="宋体" w:hAnsi="宋体" w:cs="宋体"/>
                <w:color w:val="000000"/>
                <w:kern w:val="0"/>
                <w:sz w:val="18"/>
                <w:szCs w:val="18"/>
              </w:rPr>
            </w:pPr>
            <w:r>
              <w:rPr>
                <w:rFonts w:hint="eastAsia" w:ascii="宋体" w:hAnsi="宋体" w:cs="宋体"/>
                <w:color w:val="000000"/>
                <w:kern w:val="0"/>
                <w:sz w:val="18"/>
                <w:szCs w:val="18"/>
              </w:rPr>
              <w:t>天然与人工鉴定</w:t>
            </w:r>
          </w:p>
        </w:tc>
        <w:tc>
          <w:tcPr>
            <w:tcW w:w="8221" w:type="dxa"/>
            <w:gridSpan w:val="5"/>
            <w:vAlign w:val="center"/>
          </w:tcPr>
          <w:p w14:paraId="4F7F1048">
            <w:pPr>
              <w:widowControl/>
              <w:rPr>
                <w:rFonts w:hint="eastAsia" w:ascii="宋体" w:hAnsi="宋体" w:cs="宋体"/>
                <w:color w:val="000000"/>
                <w:kern w:val="0"/>
                <w:sz w:val="18"/>
                <w:szCs w:val="18"/>
              </w:rPr>
            </w:pPr>
            <w:r>
              <w:rPr>
                <w:rFonts w:hint="eastAsia" w:ascii="宋体" w:hAnsi="宋体" w:cs="宋体"/>
                <w:color w:val="000000"/>
                <w:kern w:val="0"/>
                <w:sz w:val="18"/>
                <w:szCs w:val="18"/>
              </w:rPr>
              <w:sym w:font="Wingdings 2" w:char="00A3"/>
            </w:r>
            <w:r>
              <w:rPr>
                <w:rFonts w:ascii="宋体" w:hAnsi="宋体" w:cs="宋体"/>
                <w:color w:val="000000"/>
                <w:kern w:val="0"/>
                <w:sz w:val="18"/>
                <w:szCs w:val="18"/>
              </w:rPr>
              <w:t xml:space="preserve"> </w:t>
            </w:r>
            <w:r>
              <w:rPr>
                <w:rFonts w:hint="eastAsia" w:ascii="宋体" w:hAnsi="宋体" w:cs="宋体"/>
                <w:color w:val="000000"/>
                <w:kern w:val="0"/>
                <w:sz w:val="18"/>
                <w:szCs w:val="18"/>
              </w:rPr>
              <w:t xml:space="preserve">天然材质 </w:t>
            </w:r>
            <w:r>
              <w:rPr>
                <w:rFonts w:hint="eastAsia" w:ascii="宋体" w:hAnsi="宋体" w:cs="宋体"/>
                <w:color w:val="000000"/>
                <w:kern w:val="0"/>
                <w:sz w:val="18"/>
                <w:szCs w:val="18"/>
              </w:rPr>
              <w:sym w:font="Wingdings 2" w:char="00A3"/>
            </w:r>
            <w:r>
              <w:rPr>
                <w:rFonts w:ascii="宋体" w:hAnsi="宋体" w:cs="宋体"/>
                <w:color w:val="000000"/>
                <w:kern w:val="0"/>
                <w:sz w:val="18"/>
                <w:szCs w:val="18"/>
              </w:rPr>
              <w:t xml:space="preserve"> </w:t>
            </w:r>
            <w:r>
              <w:rPr>
                <w:rFonts w:hint="eastAsia" w:ascii="宋体" w:hAnsi="宋体" w:cs="宋体"/>
                <w:color w:val="000000"/>
                <w:kern w:val="0"/>
                <w:sz w:val="18"/>
                <w:szCs w:val="18"/>
              </w:rPr>
              <w:t>人工材质</w:t>
            </w:r>
            <w:r>
              <w:rPr>
                <w:rFonts w:hint="eastAsia" w:ascii="宋体" w:hAnsi="宋体" w:cs="宋体"/>
                <w:color w:val="000000"/>
                <w:kern w:val="0"/>
                <w:sz w:val="18"/>
                <w:szCs w:val="18"/>
              </w:rPr>
              <w:sym w:font="Wingdings 2" w:char="00A3"/>
            </w:r>
            <w:r>
              <w:rPr>
                <w:rFonts w:ascii="宋体" w:hAnsi="宋体" w:cs="宋体"/>
                <w:color w:val="000000"/>
                <w:kern w:val="0"/>
                <w:sz w:val="18"/>
                <w:szCs w:val="18"/>
              </w:rPr>
              <w:t xml:space="preserve"> 无法判断</w:t>
            </w:r>
          </w:p>
          <w:p w14:paraId="6738F6F6">
            <w:pPr>
              <w:widowControl/>
              <w:rPr>
                <w:rFonts w:ascii="宋体" w:hAnsi="宋体" w:cs="宋体"/>
                <w:color w:val="000000"/>
                <w:kern w:val="0"/>
                <w:sz w:val="18"/>
                <w:szCs w:val="18"/>
              </w:rPr>
            </w:pPr>
            <w:r>
              <w:rPr>
                <w:rFonts w:hint="eastAsia" w:ascii="宋体" w:hAnsi="宋体" w:cs="宋体"/>
                <w:color w:val="000000"/>
                <w:kern w:val="0"/>
                <w:sz w:val="18"/>
                <w:szCs w:val="18"/>
              </w:rPr>
              <w:t>注：本项非必要鉴定项，仅做补充鉴定项供参考。</w:t>
            </w:r>
          </w:p>
        </w:tc>
      </w:tr>
    </w:tbl>
    <w:p w14:paraId="054E4E42">
      <w:pPr>
        <w:pStyle w:val="233"/>
        <w:numPr>
          <w:ilvl w:val="0"/>
          <w:numId w:val="37"/>
        </w:numPr>
        <w:spacing w:before="120" w:beforeLines="50" w:after="120" w:afterLines="50"/>
        <w:outlineLvl w:val="2"/>
        <w:rPr>
          <w:rFonts w:ascii="黑体" w:hAnsi="黑体" w:eastAsia="黑体" w:cs="Times New Roman"/>
          <w:color w:val="000000"/>
          <w:sz w:val="21"/>
          <w:szCs w:val="21"/>
        </w:rPr>
      </w:pPr>
      <w:r>
        <w:rPr>
          <w:rFonts w:hint="eastAsia" w:ascii="黑体" w:hAnsi="黑体" w:eastAsia="黑体" w:cs="Times New Roman"/>
          <w:color w:val="000000"/>
          <w:sz w:val="21"/>
          <w:szCs w:val="21"/>
        </w:rPr>
        <w:t>其他细节鉴定</w:t>
      </w:r>
    </w:p>
    <w:p w14:paraId="281CFD1D">
      <w:pPr>
        <w:widowControl/>
        <w:ind w:left="360"/>
        <w:jc w:val="left"/>
        <w:rPr>
          <w:rFonts w:ascii="宋体" w:hAnsi="Times New Roman" w:cs="Times New Roman"/>
          <w:color w:val="000000"/>
          <w:kern w:val="0"/>
          <w:szCs w:val="21"/>
        </w:rPr>
      </w:pPr>
      <w:r>
        <w:rPr>
          <w:rFonts w:hint="eastAsia" w:ascii="宋体" w:hAnsi="Times New Roman" w:cs="Times New Roman"/>
          <w:color w:val="000000"/>
          <w:kern w:val="0"/>
          <w:szCs w:val="21"/>
        </w:rPr>
        <w:t>根据对比样品，对送检样品的细节按表</w:t>
      </w:r>
      <w:r>
        <w:rPr>
          <w:rFonts w:ascii="宋体" w:hAnsi="Times New Roman" w:cs="Times New Roman"/>
          <w:color w:val="000000"/>
          <w:kern w:val="0"/>
          <w:szCs w:val="21"/>
        </w:rPr>
        <w:t>6</w:t>
      </w:r>
      <w:r>
        <w:rPr>
          <w:rFonts w:hint="eastAsia" w:ascii="宋体" w:hAnsi="Times New Roman" w:cs="Times New Roman"/>
          <w:color w:val="000000"/>
          <w:kern w:val="0"/>
          <w:szCs w:val="21"/>
        </w:rPr>
        <w:t>进行鉴定。</w:t>
      </w:r>
    </w:p>
    <w:p w14:paraId="7B2711C8">
      <w:pPr>
        <w:widowControl/>
        <w:ind w:left="360"/>
        <w:jc w:val="left"/>
        <w:rPr>
          <w:rFonts w:ascii="宋体" w:hAnsi="Times New Roman" w:cs="Times New Roman"/>
          <w:color w:val="000000"/>
          <w:kern w:val="0"/>
          <w:szCs w:val="21"/>
        </w:rPr>
      </w:pPr>
      <w:r>
        <w:rPr>
          <w:rFonts w:hint="eastAsia" w:ascii="宋体" w:hAnsi="Times New Roman" w:cs="Times New Roman"/>
          <w:color w:val="000000"/>
          <w:kern w:val="0"/>
          <w:szCs w:val="21"/>
        </w:rPr>
        <w:t>对比样品非实物时</w:t>
      </w:r>
      <w:r>
        <w:rPr>
          <w:rFonts w:hint="eastAsia" w:ascii="Helvetica Neue" w:hAnsi="Helvetica Neue" w:cs="Times New Roman"/>
          <w:color w:val="000000"/>
          <w:kern w:val="0"/>
          <w:szCs w:val="21"/>
        </w:rPr>
        <w:t>，</w:t>
      </w:r>
      <w:r>
        <w:rPr>
          <w:rFonts w:hint="eastAsia" w:ascii="宋体" w:hAnsi="Times New Roman" w:cs="Times New Roman"/>
          <w:color w:val="000000"/>
          <w:kern w:val="0"/>
          <w:szCs w:val="21"/>
        </w:rPr>
        <w:t>不开展此项鉴定。其他细节鉴定结论为：</w:t>
      </w:r>
      <w:r>
        <w:rPr>
          <w:rFonts w:ascii="宋体" w:hAnsi="Times New Roman" w:cs="Times New Roman"/>
          <w:color w:val="000000"/>
          <w:kern w:val="0"/>
          <w:szCs w:val="21"/>
        </w:rPr>
        <w:t>无法判断</w:t>
      </w:r>
      <w:r>
        <w:rPr>
          <w:rFonts w:hint="eastAsia" w:ascii="宋体" w:hAnsi="Times New Roman" w:cs="Times New Roman"/>
          <w:color w:val="000000"/>
          <w:kern w:val="0"/>
          <w:szCs w:val="21"/>
        </w:rPr>
        <w:t>。</w:t>
      </w:r>
    </w:p>
    <w:p w14:paraId="24E2141A">
      <w:pPr>
        <w:widowControl/>
        <w:spacing w:before="120" w:beforeLines="50" w:after="120" w:afterLines="50"/>
        <w:ind w:left="709" w:hanging="709"/>
        <w:jc w:val="center"/>
        <w:rPr>
          <w:rFonts w:ascii="黑体" w:hAnsi="黑体" w:eastAsia="黑体" w:cs="Times New Roman"/>
          <w:color w:val="000000"/>
          <w:kern w:val="0"/>
          <w:sz w:val="18"/>
          <w:szCs w:val="18"/>
        </w:rPr>
      </w:pPr>
      <w:r>
        <w:rPr>
          <w:rFonts w:hint="eastAsia" w:ascii="黑体" w:hAnsi="黑体" w:eastAsia="黑体" w:cs="Times New Roman"/>
          <w:color w:val="000000"/>
          <w:kern w:val="0"/>
          <w:sz w:val="18"/>
          <w:szCs w:val="18"/>
        </w:rPr>
        <w:t>表</w:t>
      </w:r>
      <w:r>
        <w:rPr>
          <w:rFonts w:ascii="黑体" w:hAnsi="黑体" w:eastAsia="黑体" w:cs="Times New Roman"/>
          <w:color w:val="000000"/>
          <w:kern w:val="0"/>
          <w:sz w:val="18"/>
          <w:szCs w:val="18"/>
        </w:rPr>
        <w:t xml:space="preserve">6 </w:t>
      </w:r>
      <w:r>
        <w:rPr>
          <w:rFonts w:hint="eastAsia" w:ascii="黑体" w:hAnsi="黑体" w:eastAsia="黑体" w:cs="Times New Roman"/>
          <w:color w:val="000000"/>
          <w:kern w:val="0"/>
          <w:sz w:val="18"/>
          <w:szCs w:val="18"/>
        </w:rPr>
        <w:t>其他细节的鉴定</w:t>
      </w:r>
    </w:p>
    <w:tbl>
      <w:tblPr>
        <w:tblStyle w:val="29"/>
        <w:tblW w:w="93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9"/>
        <w:gridCol w:w="941"/>
        <w:gridCol w:w="941"/>
        <w:gridCol w:w="940"/>
        <w:gridCol w:w="940"/>
        <w:gridCol w:w="940"/>
        <w:gridCol w:w="941"/>
        <w:gridCol w:w="940"/>
        <w:gridCol w:w="1066"/>
        <w:gridCol w:w="1026"/>
      </w:tblGrid>
      <w:tr w14:paraId="7C7457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9" w:type="dxa"/>
            <w:vAlign w:val="center"/>
          </w:tcPr>
          <w:p w14:paraId="1029F93F">
            <w:pPr>
              <w:widowControl/>
              <w:jc w:val="center"/>
              <w:rPr>
                <w:rFonts w:ascii="宋体" w:hAnsi="宋体" w:cs="宋体"/>
                <w:color w:val="000000"/>
                <w:kern w:val="0"/>
                <w:sz w:val="18"/>
                <w:szCs w:val="18"/>
              </w:rPr>
            </w:pPr>
            <w:r>
              <w:rPr>
                <w:rFonts w:hint="eastAsia" w:ascii="宋体" w:hAnsi="宋体" w:cs="宋体"/>
                <w:color w:val="000000"/>
                <w:kern w:val="0"/>
                <w:sz w:val="18"/>
                <w:szCs w:val="18"/>
              </w:rPr>
              <w:t>其他细节鉴定</w:t>
            </w:r>
          </w:p>
        </w:tc>
        <w:tc>
          <w:tcPr>
            <w:tcW w:w="941" w:type="dxa"/>
            <w:vAlign w:val="center"/>
          </w:tcPr>
          <w:p w14:paraId="354BAA86">
            <w:pPr>
              <w:widowControl/>
              <w:jc w:val="center"/>
              <w:rPr>
                <w:rFonts w:ascii="宋体" w:hAnsi="宋体" w:cs="宋体"/>
                <w:color w:val="000000"/>
                <w:kern w:val="0"/>
                <w:sz w:val="18"/>
                <w:szCs w:val="18"/>
              </w:rPr>
            </w:pPr>
            <w:r>
              <w:rPr>
                <w:rFonts w:hint="eastAsia" w:ascii="宋体" w:hAnsi="宋体" w:cs="宋体"/>
                <w:color w:val="000000"/>
                <w:kern w:val="0"/>
                <w:sz w:val="18"/>
                <w:szCs w:val="18"/>
              </w:rPr>
              <w:t>发票</w:t>
            </w:r>
          </w:p>
        </w:tc>
        <w:tc>
          <w:tcPr>
            <w:tcW w:w="941" w:type="dxa"/>
            <w:vAlign w:val="center"/>
          </w:tcPr>
          <w:p w14:paraId="32D998D8">
            <w:pPr>
              <w:widowControl/>
              <w:jc w:val="center"/>
              <w:rPr>
                <w:rFonts w:ascii="宋体" w:hAnsi="宋体" w:cs="宋体"/>
                <w:color w:val="000000"/>
                <w:kern w:val="0"/>
                <w:sz w:val="18"/>
                <w:szCs w:val="18"/>
              </w:rPr>
            </w:pPr>
            <w:r>
              <w:rPr>
                <w:rFonts w:hint="eastAsia" w:ascii="宋体" w:hAnsi="宋体" w:cs="宋体"/>
                <w:color w:val="000000"/>
                <w:kern w:val="0"/>
                <w:sz w:val="18"/>
                <w:szCs w:val="18"/>
              </w:rPr>
              <w:t>收据</w:t>
            </w:r>
          </w:p>
        </w:tc>
        <w:tc>
          <w:tcPr>
            <w:tcW w:w="940" w:type="dxa"/>
            <w:vAlign w:val="center"/>
          </w:tcPr>
          <w:p w14:paraId="60C958DB">
            <w:pPr>
              <w:widowControl/>
              <w:jc w:val="center"/>
              <w:rPr>
                <w:rFonts w:ascii="宋体" w:hAnsi="宋体" w:cs="宋体"/>
                <w:color w:val="000000"/>
                <w:kern w:val="0"/>
                <w:sz w:val="18"/>
                <w:szCs w:val="18"/>
              </w:rPr>
            </w:pPr>
            <w:r>
              <w:rPr>
                <w:rFonts w:hint="eastAsia" w:ascii="宋体" w:hAnsi="宋体" w:cs="宋体"/>
                <w:color w:val="000000"/>
                <w:kern w:val="0"/>
                <w:sz w:val="18"/>
                <w:szCs w:val="18"/>
              </w:rPr>
              <w:t>外包装</w:t>
            </w:r>
          </w:p>
        </w:tc>
        <w:tc>
          <w:tcPr>
            <w:tcW w:w="940" w:type="dxa"/>
            <w:vAlign w:val="center"/>
          </w:tcPr>
          <w:p w14:paraId="2762A0DA">
            <w:pPr>
              <w:widowControl/>
              <w:jc w:val="center"/>
              <w:rPr>
                <w:rFonts w:ascii="宋体" w:hAnsi="宋体" w:cs="宋体"/>
                <w:color w:val="000000"/>
                <w:kern w:val="0"/>
                <w:sz w:val="18"/>
                <w:szCs w:val="18"/>
              </w:rPr>
            </w:pPr>
            <w:r>
              <w:rPr>
                <w:rFonts w:hint="eastAsia" w:ascii="宋体" w:hAnsi="宋体" w:cs="宋体"/>
                <w:color w:val="000000"/>
                <w:kern w:val="0"/>
                <w:sz w:val="18"/>
                <w:szCs w:val="18"/>
              </w:rPr>
              <w:t>保修卡</w:t>
            </w:r>
          </w:p>
        </w:tc>
        <w:tc>
          <w:tcPr>
            <w:tcW w:w="940" w:type="dxa"/>
            <w:vAlign w:val="center"/>
          </w:tcPr>
          <w:p w14:paraId="0DC19621">
            <w:pPr>
              <w:widowControl/>
              <w:jc w:val="center"/>
              <w:rPr>
                <w:rFonts w:ascii="宋体" w:hAnsi="宋体" w:cs="宋体"/>
                <w:color w:val="000000"/>
                <w:kern w:val="0"/>
                <w:sz w:val="18"/>
                <w:szCs w:val="18"/>
              </w:rPr>
            </w:pPr>
            <w:r>
              <w:rPr>
                <w:rFonts w:hint="eastAsia" w:ascii="宋体" w:hAnsi="宋体" w:cs="宋体"/>
                <w:color w:val="000000"/>
                <w:kern w:val="0"/>
                <w:sz w:val="18"/>
                <w:szCs w:val="18"/>
              </w:rPr>
              <w:t>首饰盒</w:t>
            </w:r>
          </w:p>
        </w:tc>
        <w:tc>
          <w:tcPr>
            <w:tcW w:w="941" w:type="dxa"/>
            <w:vAlign w:val="center"/>
          </w:tcPr>
          <w:p w14:paraId="56A915AD">
            <w:pPr>
              <w:widowControl/>
              <w:jc w:val="center"/>
              <w:rPr>
                <w:rFonts w:ascii="宋体" w:hAnsi="宋体" w:cs="宋体"/>
                <w:color w:val="000000"/>
                <w:kern w:val="0"/>
                <w:sz w:val="18"/>
                <w:szCs w:val="18"/>
              </w:rPr>
            </w:pPr>
            <w:r>
              <w:rPr>
                <w:rFonts w:ascii="宋体" w:hAnsi="宋体" w:cs="宋体"/>
                <w:color w:val="000000"/>
                <w:kern w:val="0"/>
                <w:sz w:val="18"/>
                <w:szCs w:val="18"/>
              </w:rPr>
              <w:t>清洗布</w:t>
            </w:r>
          </w:p>
        </w:tc>
        <w:tc>
          <w:tcPr>
            <w:tcW w:w="940" w:type="dxa"/>
            <w:vAlign w:val="center"/>
          </w:tcPr>
          <w:p w14:paraId="2FB175B3">
            <w:pPr>
              <w:widowControl/>
              <w:jc w:val="center"/>
              <w:rPr>
                <w:rFonts w:ascii="宋体" w:hAnsi="宋体" w:cs="宋体"/>
                <w:color w:val="000000"/>
                <w:kern w:val="0"/>
                <w:sz w:val="18"/>
                <w:szCs w:val="18"/>
              </w:rPr>
            </w:pPr>
            <w:r>
              <w:rPr>
                <w:rFonts w:hint="eastAsia" w:ascii="宋体" w:hAnsi="宋体" w:cs="宋体"/>
                <w:color w:val="000000"/>
                <w:kern w:val="0"/>
                <w:sz w:val="18"/>
                <w:szCs w:val="18"/>
              </w:rPr>
              <w:t>内袋</w:t>
            </w:r>
          </w:p>
        </w:tc>
        <w:tc>
          <w:tcPr>
            <w:tcW w:w="1066" w:type="dxa"/>
            <w:vAlign w:val="center"/>
          </w:tcPr>
          <w:p w14:paraId="45FD246D">
            <w:pPr>
              <w:widowControl/>
              <w:jc w:val="center"/>
              <w:rPr>
                <w:rFonts w:ascii="宋体" w:hAnsi="宋体" w:cs="宋体"/>
                <w:color w:val="000000"/>
                <w:kern w:val="0"/>
                <w:sz w:val="18"/>
                <w:szCs w:val="18"/>
              </w:rPr>
            </w:pPr>
            <w:r>
              <w:rPr>
                <w:rFonts w:ascii="宋体" w:hAnsi="宋体" w:cs="宋体"/>
                <w:color w:val="000000"/>
                <w:kern w:val="0"/>
                <w:sz w:val="18"/>
                <w:szCs w:val="18"/>
              </w:rPr>
              <w:t>耳堵/耳迫</w:t>
            </w:r>
          </w:p>
        </w:tc>
        <w:tc>
          <w:tcPr>
            <w:tcW w:w="1026" w:type="dxa"/>
            <w:vAlign w:val="center"/>
          </w:tcPr>
          <w:p w14:paraId="1B6B3F9E">
            <w:pPr>
              <w:widowControl/>
              <w:jc w:val="center"/>
              <w:rPr>
                <w:rFonts w:ascii="宋体" w:hAnsi="宋体" w:cs="宋体"/>
                <w:color w:val="000000"/>
                <w:kern w:val="0"/>
                <w:sz w:val="18"/>
                <w:szCs w:val="18"/>
              </w:rPr>
            </w:pPr>
            <w:r>
              <w:rPr>
                <w:rFonts w:hint="eastAsia" w:ascii="宋体" w:hAnsi="宋体" w:cs="宋体"/>
                <w:color w:val="000000"/>
                <w:kern w:val="0"/>
                <w:sz w:val="18"/>
                <w:szCs w:val="18"/>
              </w:rPr>
              <w:t>其他</w:t>
            </w:r>
          </w:p>
        </w:tc>
      </w:tr>
      <w:tr w14:paraId="63D93B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9" w:type="dxa"/>
            <w:vAlign w:val="center"/>
          </w:tcPr>
          <w:p w14:paraId="165F1764">
            <w:pPr>
              <w:widowControl/>
              <w:jc w:val="center"/>
              <w:rPr>
                <w:rFonts w:ascii="宋体" w:hAnsi="宋体" w:cs="宋体"/>
                <w:color w:val="000000"/>
                <w:kern w:val="0"/>
                <w:sz w:val="18"/>
                <w:szCs w:val="18"/>
              </w:rPr>
            </w:pPr>
            <w:r>
              <w:rPr>
                <w:rFonts w:hint="eastAsia" w:ascii="宋体" w:hAnsi="宋体" w:cs="宋体"/>
                <w:color w:val="000000"/>
                <w:kern w:val="0"/>
                <w:sz w:val="18"/>
                <w:szCs w:val="18"/>
              </w:rPr>
              <w:t>鉴定结果</w:t>
            </w:r>
          </w:p>
        </w:tc>
        <w:tc>
          <w:tcPr>
            <w:tcW w:w="941" w:type="dxa"/>
            <w:vAlign w:val="center"/>
          </w:tcPr>
          <w:p w14:paraId="59111272">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是</w:t>
            </w:r>
          </w:p>
          <w:p w14:paraId="7EFD8550">
            <w:pPr>
              <w:widowControl/>
              <w:jc w:val="left"/>
              <w:rPr>
                <w:rFonts w:ascii="宋体" w:hAnsi="宋体" w:cs="宋体"/>
                <w:kern w:val="0"/>
                <w:sz w:val="18"/>
                <w:szCs w:val="18"/>
              </w:rPr>
            </w:pPr>
            <w:r>
              <w:rPr>
                <w:rFonts w:hint="eastAsia" w:ascii="宋体" w:hAnsi="宋体" w:cs="宋体"/>
                <w:color w:val="000000"/>
                <w:kern w:val="0"/>
                <w:sz w:val="18"/>
                <w:szCs w:val="18"/>
              </w:rPr>
              <w:sym w:font="Wingdings 2" w:char="00A3"/>
            </w:r>
            <w:r>
              <w:rPr>
                <w:rFonts w:hint="eastAsia" w:ascii="宋体" w:hAnsi="宋体" w:cs="宋体"/>
                <w:kern w:val="0"/>
                <w:sz w:val="18"/>
                <w:szCs w:val="18"/>
              </w:rPr>
              <w:t>否</w:t>
            </w:r>
          </w:p>
          <w:p w14:paraId="5EF04F76">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无法确定</w:t>
            </w:r>
          </w:p>
        </w:tc>
        <w:tc>
          <w:tcPr>
            <w:tcW w:w="941" w:type="dxa"/>
            <w:vAlign w:val="center"/>
          </w:tcPr>
          <w:p w14:paraId="44255661">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是</w:t>
            </w:r>
          </w:p>
          <w:p w14:paraId="676FB262">
            <w:pPr>
              <w:widowControl/>
              <w:jc w:val="left"/>
              <w:rPr>
                <w:rFonts w:ascii="宋体" w:hAnsi="宋体" w:cs="宋体"/>
                <w:kern w:val="0"/>
                <w:sz w:val="18"/>
                <w:szCs w:val="18"/>
              </w:rPr>
            </w:pPr>
            <w:r>
              <w:rPr>
                <w:rFonts w:hint="eastAsia" w:ascii="宋体" w:hAnsi="宋体" w:cs="宋体"/>
                <w:color w:val="000000"/>
                <w:kern w:val="0"/>
                <w:sz w:val="18"/>
                <w:szCs w:val="18"/>
              </w:rPr>
              <w:sym w:font="Wingdings 2" w:char="00A3"/>
            </w:r>
            <w:r>
              <w:rPr>
                <w:rFonts w:hint="eastAsia" w:ascii="宋体" w:hAnsi="宋体" w:cs="宋体"/>
                <w:kern w:val="0"/>
                <w:sz w:val="18"/>
                <w:szCs w:val="18"/>
              </w:rPr>
              <w:t>否</w:t>
            </w:r>
          </w:p>
          <w:p w14:paraId="431B5010">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无法确定</w:t>
            </w:r>
          </w:p>
        </w:tc>
        <w:tc>
          <w:tcPr>
            <w:tcW w:w="940" w:type="dxa"/>
          </w:tcPr>
          <w:p w14:paraId="09DB5653">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是</w:t>
            </w:r>
          </w:p>
          <w:p w14:paraId="3E8B5FD5">
            <w:pPr>
              <w:widowControl/>
              <w:jc w:val="left"/>
              <w:rPr>
                <w:rFonts w:ascii="宋体" w:hAnsi="宋体" w:cs="宋体"/>
                <w:kern w:val="0"/>
                <w:sz w:val="18"/>
                <w:szCs w:val="18"/>
              </w:rPr>
            </w:pPr>
            <w:r>
              <w:rPr>
                <w:rFonts w:hint="eastAsia" w:ascii="宋体" w:hAnsi="宋体" w:cs="宋体"/>
                <w:color w:val="000000"/>
                <w:kern w:val="0"/>
                <w:sz w:val="18"/>
                <w:szCs w:val="18"/>
              </w:rPr>
              <w:sym w:font="Wingdings 2" w:char="00A3"/>
            </w:r>
            <w:r>
              <w:rPr>
                <w:rFonts w:hint="eastAsia" w:ascii="宋体" w:hAnsi="宋体" w:cs="宋体"/>
                <w:kern w:val="0"/>
                <w:sz w:val="18"/>
                <w:szCs w:val="18"/>
              </w:rPr>
              <w:t>否</w:t>
            </w:r>
          </w:p>
          <w:p w14:paraId="03E83245">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无法确定</w:t>
            </w:r>
          </w:p>
        </w:tc>
        <w:tc>
          <w:tcPr>
            <w:tcW w:w="940" w:type="dxa"/>
          </w:tcPr>
          <w:p w14:paraId="7DDD23E8">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是</w:t>
            </w:r>
          </w:p>
          <w:p w14:paraId="27B766E1">
            <w:pPr>
              <w:widowControl/>
              <w:jc w:val="left"/>
              <w:rPr>
                <w:rFonts w:ascii="宋体" w:hAnsi="宋体" w:cs="宋体"/>
                <w:kern w:val="0"/>
                <w:sz w:val="18"/>
                <w:szCs w:val="18"/>
              </w:rPr>
            </w:pPr>
            <w:r>
              <w:rPr>
                <w:rFonts w:hint="eastAsia" w:ascii="宋体" w:hAnsi="宋体" w:cs="宋体"/>
                <w:color w:val="000000"/>
                <w:kern w:val="0"/>
                <w:sz w:val="18"/>
                <w:szCs w:val="18"/>
              </w:rPr>
              <w:sym w:font="Wingdings 2" w:char="00A3"/>
            </w:r>
            <w:r>
              <w:rPr>
                <w:rFonts w:hint="eastAsia" w:ascii="宋体" w:hAnsi="宋体" w:cs="宋体"/>
                <w:kern w:val="0"/>
                <w:sz w:val="18"/>
                <w:szCs w:val="18"/>
              </w:rPr>
              <w:t>否</w:t>
            </w:r>
          </w:p>
          <w:p w14:paraId="41F29949">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无法确定</w:t>
            </w:r>
          </w:p>
        </w:tc>
        <w:tc>
          <w:tcPr>
            <w:tcW w:w="940" w:type="dxa"/>
          </w:tcPr>
          <w:p w14:paraId="12EF4D4E">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是</w:t>
            </w:r>
          </w:p>
          <w:p w14:paraId="01755D44">
            <w:pPr>
              <w:widowControl/>
              <w:jc w:val="left"/>
              <w:rPr>
                <w:rFonts w:ascii="宋体" w:hAnsi="宋体" w:cs="宋体"/>
                <w:kern w:val="0"/>
                <w:sz w:val="18"/>
                <w:szCs w:val="18"/>
              </w:rPr>
            </w:pPr>
            <w:r>
              <w:rPr>
                <w:rFonts w:hint="eastAsia" w:ascii="宋体" w:hAnsi="宋体" w:cs="宋体"/>
                <w:color w:val="000000"/>
                <w:kern w:val="0"/>
                <w:sz w:val="18"/>
                <w:szCs w:val="18"/>
              </w:rPr>
              <w:sym w:font="Wingdings 2" w:char="00A3"/>
            </w:r>
            <w:r>
              <w:rPr>
                <w:rFonts w:hint="eastAsia" w:ascii="宋体" w:hAnsi="宋体" w:cs="宋体"/>
                <w:kern w:val="0"/>
                <w:sz w:val="18"/>
                <w:szCs w:val="18"/>
              </w:rPr>
              <w:t>否</w:t>
            </w:r>
          </w:p>
          <w:p w14:paraId="0E87A876">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无法确定</w:t>
            </w:r>
          </w:p>
        </w:tc>
        <w:tc>
          <w:tcPr>
            <w:tcW w:w="941" w:type="dxa"/>
          </w:tcPr>
          <w:p w14:paraId="05567789">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是</w:t>
            </w:r>
          </w:p>
          <w:p w14:paraId="61347861">
            <w:pPr>
              <w:widowControl/>
              <w:jc w:val="left"/>
              <w:rPr>
                <w:rFonts w:ascii="宋体" w:hAnsi="宋体" w:cs="宋体"/>
                <w:kern w:val="0"/>
                <w:sz w:val="18"/>
                <w:szCs w:val="18"/>
              </w:rPr>
            </w:pPr>
            <w:r>
              <w:rPr>
                <w:rFonts w:hint="eastAsia" w:ascii="宋体" w:hAnsi="宋体" w:cs="宋体"/>
                <w:color w:val="000000"/>
                <w:kern w:val="0"/>
                <w:sz w:val="18"/>
                <w:szCs w:val="18"/>
              </w:rPr>
              <w:sym w:font="Wingdings 2" w:char="00A3"/>
            </w:r>
            <w:r>
              <w:rPr>
                <w:rFonts w:hint="eastAsia" w:ascii="宋体" w:hAnsi="宋体" w:cs="宋体"/>
                <w:kern w:val="0"/>
                <w:sz w:val="18"/>
                <w:szCs w:val="18"/>
              </w:rPr>
              <w:t>否</w:t>
            </w:r>
          </w:p>
          <w:p w14:paraId="34FB0CE0">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无法确定</w:t>
            </w:r>
          </w:p>
        </w:tc>
        <w:tc>
          <w:tcPr>
            <w:tcW w:w="940" w:type="dxa"/>
          </w:tcPr>
          <w:p w14:paraId="1E29B143">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是</w:t>
            </w:r>
          </w:p>
          <w:p w14:paraId="4082208C">
            <w:pPr>
              <w:widowControl/>
              <w:jc w:val="left"/>
              <w:rPr>
                <w:rFonts w:ascii="宋体" w:hAnsi="宋体" w:cs="宋体"/>
                <w:kern w:val="0"/>
                <w:sz w:val="18"/>
                <w:szCs w:val="18"/>
              </w:rPr>
            </w:pPr>
            <w:r>
              <w:rPr>
                <w:rFonts w:hint="eastAsia" w:ascii="宋体" w:hAnsi="宋体" w:cs="宋体"/>
                <w:color w:val="000000"/>
                <w:kern w:val="0"/>
                <w:sz w:val="18"/>
                <w:szCs w:val="18"/>
              </w:rPr>
              <w:sym w:font="Wingdings 2" w:char="00A3"/>
            </w:r>
            <w:r>
              <w:rPr>
                <w:rFonts w:hint="eastAsia" w:ascii="宋体" w:hAnsi="宋体" w:cs="宋体"/>
                <w:kern w:val="0"/>
                <w:sz w:val="18"/>
                <w:szCs w:val="18"/>
              </w:rPr>
              <w:t>否</w:t>
            </w:r>
          </w:p>
          <w:p w14:paraId="5B276017">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无法确定</w:t>
            </w:r>
          </w:p>
        </w:tc>
        <w:tc>
          <w:tcPr>
            <w:tcW w:w="1066" w:type="dxa"/>
            <w:vAlign w:val="center"/>
          </w:tcPr>
          <w:p w14:paraId="109E4C44">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是</w:t>
            </w:r>
          </w:p>
          <w:p w14:paraId="23E0947D">
            <w:pPr>
              <w:widowControl/>
              <w:jc w:val="left"/>
              <w:rPr>
                <w:rFonts w:ascii="宋体" w:hAnsi="宋体" w:cs="宋体"/>
                <w:kern w:val="0"/>
                <w:sz w:val="18"/>
                <w:szCs w:val="18"/>
              </w:rPr>
            </w:pPr>
            <w:r>
              <w:rPr>
                <w:rFonts w:hint="eastAsia" w:ascii="宋体" w:hAnsi="宋体" w:cs="宋体"/>
                <w:color w:val="000000"/>
                <w:kern w:val="0"/>
                <w:sz w:val="18"/>
                <w:szCs w:val="18"/>
              </w:rPr>
              <w:sym w:font="Wingdings 2" w:char="00A3"/>
            </w:r>
            <w:r>
              <w:rPr>
                <w:rFonts w:hint="eastAsia" w:ascii="宋体" w:hAnsi="宋体" w:cs="宋体"/>
                <w:kern w:val="0"/>
                <w:sz w:val="18"/>
                <w:szCs w:val="18"/>
              </w:rPr>
              <w:t>否</w:t>
            </w:r>
          </w:p>
          <w:p w14:paraId="79AD3355">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无法确定</w:t>
            </w:r>
          </w:p>
        </w:tc>
        <w:tc>
          <w:tcPr>
            <w:tcW w:w="1026" w:type="dxa"/>
            <w:vAlign w:val="center"/>
          </w:tcPr>
          <w:p w14:paraId="04973F5D">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是</w:t>
            </w:r>
          </w:p>
          <w:p w14:paraId="39669373">
            <w:pPr>
              <w:widowControl/>
              <w:jc w:val="left"/>
              <w:rPr>
                <w:rFonts w:ascii="宋体" w:hAnsi="宋体" w:cs="宋体"/>
                <w:kern w:val="0"/>
                <w:sz w:val="18"/>
                <w:szCs w:val="18"/>
              </w:rPr>
            </w:pPr>
            <w:r>
              <w:rPr>
                <w:rFonts w:hint="eastAsia" w:ascii="宋体" w:hAnsi="宋体" w:cs="宋体"/>
                <w:color w:val="000000"/>
                <w:kern w:val="0"/>
                <w:sz w:val="18"/>
                <w:szCs w:val="18"/>
              </w:rPr>
              <w:sym w:font="Wingdings 2" w:char="00A3"/>
            </w:r>
            <w:r>
              <w:rPr>
                <w:rFonts w:hint="eastAsia" w:ascii="宋体" w:hAnsi="宋体" w:cs="宋体"/>
                <w:kern w:val="0"/>
                <w:sz w:val="18"/>
                <w:szCs w:val="18"/>
              </w:rPr>
              <w:t>否</w:t>
            </w:r>
          </w:p>
          <w:p w14:paraId="2F337340">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无法确定</w:t>
            </w:r>
          </w:p>
        </w:tc>
      </w:tr>
      <w:tr w14:paraId="1E233F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9" w:type="dxa"/>
            <w:vAlign w:val="center"/>
          </w:tcPr>
          <w:p w14:paraId="1FC25699">
            <w:pPr>
              <w:widowControl/>
              <w:jc w:val="center"/>
              <w:rPr>
                <w:rFonts w:ascii="宋体" w:hAnsi="宋体" w:cs="宋体"/>
                <w:color w:val="000000"/>
                <w:kern w:val="0"/>
                <w:sz w:val="18"/>
                <w:szCs w:val="18"/>
              </w:rPr>
            </w:pPr>
            <w:r>
              <w:rPr>
                <w:rFonts w:hint="eastAsia" w:ascii="宋体" w:hAnsi="宋体" w:cs="宋体"/>
                <w:color w:val="000000"/>
                <w:kern w:val="0"/>
                <w:sz w:val="18"/>
                <w:szCs w:val="18"/>
              </w:rPr>
              <w:t>其他细节鉴定结论</w:t>
            </w:r>
          </w:p>
        </w:tc>
        <w:tc>
          <w:tcPr>
            <w:tcW w:w="8675" w:type="dxa"/>
            <w:gridSpan w:val="9"/>
            <w:vAlign w:val="center"/>
          </w:tcPr>
          <w:p w14:paraId="2802AEAF">
            <w:pPr>
              <w:widowControl/>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ascii="宋体" w:hAnsi="宋体" w:cs="宋体"/>
                <w:color w:val="000000"/>
                <w:kern w:val="0"/>
                <w:sz w:val="18"/>
                <w:szCs w:val="18"/>
              </w:rPr>
              <w:t xml:space="preserve"> 符合品牌饰品特征（经实物鉴定）</w:t>
            </w:r>
          </w:p>
          <w:p w14:paraId="09F42740">
            <w:pPr>
              <w:widowControl/>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 xml:space="preserve"> </w:t>
            </w:r>
            <w:r>
              <w:rPr>
                <w:rFonts w:ascii="宋体" w:hAnsi="宋体" w:cs="宋体"/>
                <w:color w:val="000000"/>
                <w:kern w:val="0"/>
                <w:sz w:val="18"/>
                <w:szCs w:val="18"/>
              </w:rPr>
              <w:t>不符合品牌饰品特征（经实物鉴定）</w:t>
            </w:r>
          </w:p>
          <w:p w14:paraId="12F6B8FB">
            <w:pPr>
              <w:widowControl/>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ascii="宋体" w:hAnsi="宋体" w:cs="宋体"/>
                <w:color w:val="000000"/>
                <w:kern w:val="0"/>
                <w:sz w:val="18"/>
                <w:szCs w:val="18"/>
              </w:rPr>
              <w:t xml:space="preserve"> 无法判断</w:t>
            </w:r>
          </w:p>
        </w:tc>
      </w:tr>
    </w:tbl>
    <w:p w14:paraId="38D44D84">
      <w:pPr>
        <w:pStyle w:val="233"/>
        <w:numPr>
          <w:ilvl w:val="0"/>
          <w:numId w:val="37"/>
        </w:numPr>
        <w:spacing w:before="120" w:beforeLines="50" w:after="120" w:afterLines="50"/>
        <w:outlineLvl w:val="2"/>
        <w:rPr>
          <w:rFonts w:ascii="黑体" w:hAnsi="黑体" w:eastAsia="黑体" w:cs="Times New Roman"/>
          <w:color w:val="000000"/>
          <w:sz w:val="21"/>
          <w:szCs w:val="21"/>
        </w:rPr>
      </w:pPr>
      <w:r>
        <w:rPr>
          <w:rFonts w:hint="eastAsia" w:ascii="黑体" w:hAnsi="黑体" w:eastAsia="黑体" w:cs="Times New Roman"/>
          <w:color w:val="000000"/>
          <w:sz w:val="21"/>
          <w:szCs w:val="21"/>
        </w:rPr>
        <w:t>防伪信息和保卡鉴定</w:t>
      </w:r>
    </w:p>
    <w:p w14:paraId="43AE873C">
      <w:pPr>
        <w:widowControl/>
        <w:ind w:firstLine="420" w:firstLineChars="200"/>
        <w:jc w:val="left"/>
        <w:rPr>
          <w:rFonts w:ascii="宋体" w:hAnsi="Times New Roman" w:cs="Times New Roman"/>
          <w:color w:val="000000"/>
          <w:kern w:val="0"/>
          <w:szCs w:val="21"/>
        </w:rPr>
      </w:pPr>
      <w:r>
        <w:rPr>
          <w:rFonts w:hint="eastAsia" w:ascii="宋体" w:hAnsi="Times New Roman" w:cs="Times New Roman"/>
          <w:color w:val="000000"/>
          <w:kern w:val="0"/>
          <w:szCs w:val="21"/>
        </w:rPr>
        <w:t>在具备品牌官方系统认证的条件下，如有需要使用相匹配的设备进行辅助检验，对送检产品的防伪信息按表</w:t>
      </w:r>
      <w:r>
        <w:rPr>
          <w:rFonts w:ascii="宋体" w:hAnsi="Times New Roman" w:cs="Times New Roman"/>
          <w:color w:val="000000"/>
          <w:kern w:val="0"/>
          <w:szCs w:val="21"/>
        </w:rPr>
        <w:t>7</w:t>
      </w:r>
      <w:r>
        <w:rPr>
          <w:rFonts w:hint="eastAsia" w:ascii="宋体" w:hAnsi="Times New Roman" w:cs="Times New Roman"/>
          <w:color w:val="000000"/>
          <w:kern w:val="0"/>
          <w:szCs w:val="21"/>
        </w:rPr>
        <w:t>进行检验，得出鉴定结论。</w:t>
      </w:r>
    </w:p>
    <w:p w14:paraId="1986F12D">
      <w:pPr>
        <w:widowControl/>
        <w:spacing w:before="120" w:beforeLines="50" w:after="120" w:afterLines="50"/>
        <w:ind w:left="709" w:hanging="709"/>
        <w:jc w:val="center"/>
        <w:rPr>
          <w:rFonts w:ascii="黑体" w:hAnsi="黑体" w:eastAsia="黑体" w:cs="Times New Roman"/>
          <w:color w:val="000000"/>
          <w:kern w:val="0"/>
          <w:sz w:val="18"/>
          <w:szCs w:val="18"/>
        </w:rPr>
      </w:pPr>
      <w:r>
        <w:rPr>
          <w:rFonts w:hint="eastAsia" w:ascii="黑体" w:hAnsi="黑体" w:eastAsia="黑体" w:cs="Times New Roman"/>
          <w:color w:val="000000"/>
          <w:kern w:val="0"/>
          <w:sz w:val="18"/>
          <w:szCs w:val="18"/>
        </w:rPr>
        <w:t>表</w:t>
      </w:r>
      <w:r>
        <w:rPr>
          <w:rFonts w:ascii="黑体" w:hAnsi="黑体" w:eastAsia="黑体" w:cs="Times New Roman"/>
          <w:color w:val="000000"/>
          <w:kern w:val="0"/>
          <w:sz w:val="18"/>
          <w:szCs w:val="18"/>
        </w:rPr>
        <w:t xml:space="preserve">7 </w:t>
      </w:r>
      <w:r>
        <w:rPr>
          <w:rFonts w:hint="eastAsia" w:ascii="黑体" w:hAnsi="黑体" w:eastAsia="黑体" w:cs="Times New Roman"/>
          <w:color w:val="000000"/>
          <w:kern w:val="0"/>
          <w:sz w:val="18"/>
          <w:szCs w:val="18"/>
        </w:rPr>
        <w:t>防伪信息和保卡检验</w:t>
      </w:r>
    </w:p>
    <w:tbl>
      <w:tblPr>
        <w:tblStyle w:val="29"/>
        <w:tblW w:w="90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72"/>
        <w:gridCol w:w="6095"/>
      </w:tblGrid>
      <w:tr w14:paraId="270CC8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72" w:type="dxa"/>
            <w:vAlign w:val="center"/>
          </w:tcPr>
          <w:p w14:paraId="68DEFFCC">
            <w:pPr>
              <w:widowControl/>
              <w:jc w:val="center"/>
              <w:rPr>
                <w:rFonts w:ascii="宋体" w:hAnsi="宋体" w:cs="宋体"/>
                <w:color w:val="000000"/>
                <w:kern w:val="0"/>
                <w:sz w:val="18"/>
                <w:szCs w:val="18"/>
              </w:rPr>
            </w:pPr>
            <w:r>
              <w:rPr>
                <w:rFonts w:hint="eastAsia" w:ascii="宋体" w:hAnsi="宋体" w:cs="宋体"/>
                <w:color w:val="000000"/>
                <w:kern w:val="0"/>
                <w:sz w:val="18"/>
                <w:szCs w:val="18"/>
              </w:rPr>
              <w:t>防伪信息和保卡鉴定</w:t>
            </w:r>
          </w:p>
        </w:tc>
        <w:tc>
          <w:tcPr>
            <w:tcW w:w="6095" w:type="dxa"/>
            <w:vAlign w:val="center"/>
          </w:tcPr>
          <w:p w14:paraId="4E0814A4">
            <w:pPr>
              <w:widowControl/>
              <w:jc w:val="center"/>
              <w:rPr>
                <w:rFonts w:ascii="宋体" w:hAnsi="宋体" w:cs="宋体"/>
                <w:color w:val="000000"/>
                <w:kern w:val="0"/>
                <w:sz w:val="18"/>
                <w:szCs w:val="18"/>
              </w:rPr>
            </w:pPr>
            <w:r>
              <w:rPr>
                <w:rFonts w:hint="eastAsia" w:ascii="宋体" w:hAnsi="宋体" w:cs="宋体"/>
                <w:color w:val="000000"/>
                <w:kern w:val="0"/>
                <w:sz w:val="18"/>
                <w:szCs w:val="18"/>
              </w:rPr>
              <w:t>防伪信息和保卡是否正确</w:t>
            </w:r>
          </w:p>
        </w:tc>
      </w:tr>
      <w:tr w14:paraId="2A8C38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72" w:type="dxa"/>
            <w:vAlign w:val="center"/>
          </w:tcPr>
          <w:p w14:paraId="3066205C">
            <w:pPr>
              <w:widowControl/>
              <w:jc w:val="center"/>
              <w:rPr>
                <w:rFonts w:ascii="宋体" w:hAnsi="宋体" w:cs="宋体"/>
                <w:color w:val="000000"/>
                <w:kern w:val="0"/>
                <w:sz w:val="18"/>
                <w:szCs w:val="18"/>
              </w:rPr>
            </w:pPr>
            <w:r>
              <w:rPr>
                <w:rFonts w:hint="eastAsia" w:ascii="宋体" w:hAnsi="宋体" w:cs="宋体"/>
                <w:color w:val="000000"/>
                <w:kern w:val="0"/>
                <w:sz w:val="18"/>
                <w:szCs w:val="18"/>
              </w:rPr>
              <w:t>鉴定结果</w:t>
            </w:r>
          </w:p>
        </w:tc>
        <w:tc>
          <w:tcPr>
            <w:tcW w:w="6095" w:type="dxa"/>
          </w:tcPr>
          <w:p w14:paraId="58F42DC1">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 xml:space="preserve">是 </w:t>
            </w:r>
            <w:r>
              <w:rPr>
                <w:rFonts w:ascii="宋体" w:hAnsi="宋体" w:cs="宋体"/>
                <w:color w:val="000000"/>
                <w:kern w:val="0"/>
                <w:sz w:val="18"/>
                <w:szCs w:val="18"/>
              </w:rPr>
              <w:t xml:space="preserve">             </w:t>
            </w:r>
            <w:r>
              <w:rPr>
                <w:rFonts w:hint="eastAsia" w:ascii="宋体" w:hAnsi="宋体" w:cs="宋体"/>
                <w:color w:val="000000"/>
                <w:kern w:val="0"/>
                <w:sz w:val="18"/>
                <w:szCs w:val="18"/>
              </w:rPr>
              <w:t xml:space="preserve"> </w:t>
            </w:r>
            <w:r>
              <w:rPr>
                <w:rFonts w:hint="eastAsia" w:ascii="宋体" w:hAnsi="宋体" w:cs="宋体"/>
                <w:color w:val="000000"/>
                <w:kern w:val="0"/>
                <w:sz w:val="18"/>
                <w:szCs w:val="18"/>
              </w:rPr>
              <w:sym w:font="Wingdings 2" w:char="00A3"/>
            </w:r>
            <w:r>
              <w:rPr>
                <w:rFonts w:hint="eastAsia" w:ascii="宋体" w:hAnsi="宋体" w:cs="宋体"/>
                <w:kern w:val="0"/>
                <w:sz w:val="18"/>
                <w:szCs w:val="18"/>
              </w:rPr>
              <w:t xml:space="preserve">否 </w:t>
            </w:r>
            <w:r>
              <w:rPr>
                <w:rFonts w:ascii="宋体" w:hAnsi="宋体" w:cs="宋体"/>
                <w:kern w:val="0"/>
                <w:sz w:val="18"/>
                <w:szCs w:val="18"/>
              </w:rPr>
              <w:t xml:space="preserve">           </w:t>
            </w: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无法确定</w:t>
            </w:r>
          </w:p>
        </w:tc>
      </w:tr>
      <w:tr w14:paraId="2BDF9D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72" w:type="dxa"/>
            <w:vAlign w:val="center"/>
          </w:tcPr>
          <w:p w14:paraId="60521CDB">
            <w:pPr>
              <w:widowControl/>
              <w:jc w:val="center"/>
              <w:rPr>
                <w:rFonts w:ascii="宋体" w:hAnsi="宋体" w:cs="宋体"/>
                <w:color w:val="000000"/>
                <w:kern w:val="0"/>
                <w:sz w:val="18"/>
                <w:szCs w:val="18"/>
              </w:rPr>
            </w:pPr>
            <w:r>
              <w:rPr>
                <w:rFonts w:hint="eastAsia" w:ascii="宋体" w:hAnsi="宋体" w:cs="宋体"/>
                <w:color w:val="000000"/>
                <w:kern w:val="0"/>
                <w:sz w:val="18"/>
                <w:szCs w:val="18"/>
              </w:rPr>
              <w:t>防伪信息和保卡鉴定结论</w:t>
            </w:r>
          </w:p>
        </w:tc>
        <w:tc>
          <w:tcPr>
            <w:tcW w:w="6095" w:type="dxa"/>
          </w:tcPr>
          <w:p w14:paraId="4929F9B7">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ascii="宋体" w:hAnsi="宋体" w:cs="宋体"/>
                <w:color w:val="000000"/>
                <w:kern w:val="0"/>
                <w:sz w:val="18"/>
                <w:szCs w:val="18"/>
              </w:rPr>
              <w:t xml:space="preserve"> 符合品牌饰品特征（经实物鉴定）</w:t>
            </w:r>
          </w:p>
          <w:p w14:paraId="6A5DBA7E">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hint="eastAsia" w:ascii="宋体" w:hAnsi="宋体" w:cs="宋体"/>
                <w:color w:val="000000"/>
                <w:kern w:val="0"/>
                <w:sz w:val="18"/>
                <w:szCs w:val="18"/>
              </w:rPr>
              <w:t xml:space="preserve"> </w:t>
            </w:r>
            <w:r>
              <w:rPr>
                <w:rFonts w:ascii="宋体" w:hAnsi="宋体" w:cs="宋体"/>
                <w:color w:val="000000"/>
                <w:kern w:val="0"/>
                <w:sz w:val="18"/>
                <w:szCs w:val="18"/>
              </w:rPr>
              <w:t>不符合品牌饰品特征（经实物鉴定）</w:t>
            </w:r>
          </w:p>
          <w:p w14:paraId="28C86BE3">
            <w:pPr>
              <w:widowControl/>
              <w:jc w:val="left"/>
              <w:rPr>
                <w:rFonts w:ascii="宋体" w:hAnsi="宋体" w:cs="宋体"/>
                <w:color w:val="000000"/>
                <w:kern w:val="0"/>
                <w:sz w:val="18"/>
                <w:szCs w:val="18"/>
              </w:rPr>
            </w:pPr>
            <w:r>
              <w:rPr>
                <w:rFonts w:hint="eastAsia" w:ascii="宋体" w:hAnsi="宋体" w:cs="宋体"/>
                <w:color w:val="000000"/>
                <w:kern w:val="0"/>
                <w:sz w:val="18"/>
                <w:szCs w:val="18"/>
              </w:rPr>
              <w:sym w:font="Wingdings 2" w:char="00A3"/>
            </w:r>
            <w:r>
              <w:rPr>
                <w:rFonts w:ascii="宋体" w:hAnsi="宋体" w:cs="宋体"/>
                <w:color w:val="000000"/>
                <w:kern w:val="0"/>
                <w:sz w:val="18"/>
                <w:szCs w:val="18"/>
              </w:rPr>
              <w:t xml:space="preserve"> 无法判断</w:t>
            </w:r>
          </w:p>
        </w:tc>
      </w:tr>
    </w:tbl>
    <w:p w14:paraId="49372666">
      <w:pPr>
        <w:pStyle w:val="233"/>
        <w:numPr>
          <w:ilvl w:val="0"/>
          <w:numId w:val="37"/>
        </w:numPr>
        <w:spacing w:before="120" w:beforeLines="50" w:after="120" w:afterLines="50"/>
        <w:ind w:left="442" w:hanging="442"/>
        <w:outlineLvl w:val="2"/>
        <w:rPr>
          <w:rFonts w:ascii="黑体" w:hAnsi="黑体" w:eastAsia="黑体" w:cs="Times New Roman"/>
          <w:color w:val="000000"/>
          <w:sz w:val="21"/>
          <w:szCs w:val="21"/>
        </w:rPr>
      </w:pPr>
      <w:r>
        <w:rPr>
          <w:rFonts w:hint="eastAsia" w:ascii="黑体" w:hAnsi="黑体" w:eastAsia="黑体" w:cs="Times New Roman"/>
          <w:color w:val="000000"/>
          <w:sz w:val="21"/>
          <w:szCs w:val="21"/>
        </w:rPr>
        <w:t>送检样品综合鉴定意见及结论</w:t>
      </w:r>
    </w:p>
    <w:p w14:paraId="63C8EBDF">
      <w:pPr>
        <w:pStyle w:val="233"/>
        <w:numPr>
          <w:ilvl w:val="2"/>
          <w:numId w:val="35"/>
        </w:numPr>
        <w:spacing w:before="120" w:beforeLines="50" w:after="120" w:afterLines="50"/>
        <w:outlineLvl w:val="2"/>
        <w:rPr>
          <w:rFonts w:ascii="黑体" w:hAnsi="黑体" w:eastAsia="黑体" w:cs="Times New Roman"/>
          <w:color w:val="000000"/>
          <w:sz w:val="21"/>
          <w:szCs w:val="21"/>
        </w:rPr>
      </w:pPr>
      <w:bookmarkStart w:id="113" w:name="_Toc183106447"/>
      <w:r>
        <w:rPr>
          <w:rFonts w:hint="eastAsia" w:ascii="黑体" w:hAnsi="黑体" w:eastAsia="黑体" w:cs="Times New Roman"/>
          <w:color w:val="000000"/>
          <w:sz w:val="21"/>
          <w:szCs w:val="21"/>
        </w:rPr>
        <w:t>总则</w:t>
      </w:r>
      <w:bookmarkEnd w:id="113"/>
    </w:p>
    <w:p w14:paraId="2E0DBB88">
      <w:pPr>
        <w:widowControl/>
        <w:autoSpaceDE w:val="0"/>
        <w:autoSpaceDN w:val="0"/>
        <w:ind w:left="420"/>
        <w:jc w:val="left"/>
        <w:rPr>
          <w:rFonts w:ascii="宋体" w:hAnsi="Times New Roman" w:cs="Times New Roman"/>
          <w:kern w:val="0"/>
          <w:szCs w:val="20"/>
        </w:rPr>
      </w:pPr>
      <w:r>
        <w:rPr>
          <w:rFonts w:ascii="宋体" w:hAnsi="Times New Roman" w:cs="Times New Roman"/>
          <w:kern w:val="0"/>
          <w:szCs w:val="20"/>
        </w:rPr>
        <w:t>送检样品的综合鉴定结论按8.11.2条至8.11.6条顺序进行判定。</w:t>
      </w:r>
    </w:p>
    <w:bookmarkEnd w:id="3"/>
    <w:p w14:paraId="5FE00B00">
      <w:pPr>
        <w:pStyle w:val="233"/>
        <w:numPr>
          <w:ilvl w:val="2"/>
          <w:numId w:val="35"/>
        </w:numPr>
        <w:spacing w:before="120" w:beforeLines="50" w:after="120" w:afterLines="50"/>
        <w:outlineLvl w:val="2"/>
        <w:rPr>
          <w:rFonts w:ascii="黑体" w:hAnsi="黑体" w:eastAsia="黑体" w:cs="Times New Roman"/>
          <w:color w:val="000000"/>
          <w:sz w:val="21"/>
          <w:szCs w:val="21"/>
        </w:rPr>
      </w:pPr>
      <w:bookmarkStart w:id="114" w:name="_Toc183106448"/>
      <w:bookmarkStart w:id="115" w:name="_Toc122946092"/>
      <w:bookmarkStart w:id="116" w:name="BookMark5"/>
      <w:r>
        <w:rPr>
          <w:rFonts w:hint="eastAsia" w:ascii="黑体" w:hAnsi="黑体" w:eastAsia="黑体" w:cs="Times New Roman"/>
          <w:color w:val="000000"/>
          <w:sz w:val="21"/>
          <w:szCs w:val="21"/>
        </w:rPr>
        <w:t>送检样品符合品牌饰品特征</w:t>
      </w:r>
      <w:bookmarkEnd w:id="114"/>
    </w:p>
    <w:p w14:paraId="3112DA7D">
      <w:pPr>
        <w:widowControl/>
        <w:ind w:firstLine="424" w:firstLineChars="202"/>
        <w:rPr>
          <w:rFonts w:ascii="宋体" w:hAnsi="Times New Roman" w:cs="Times New Roman"/>
          <w:color w:val="000000"/>
          <w:kern w:val="0"/>
          <w:szCs w:val="21"/>
        </w:rPr>
      </w:pPr>
      <w:r>
        <w:rPr>
          <w:rFonts w:hint="eastAsia" w:ascii="宋体" w:hAnsi="宋体" w:cs="Times New Roman"/>
          <w:color w:val="000000"/>
          <w:kern w:val="0"/>
          <w:szCs w:val="21"/>
        </w:rPr>
        <w:t>如8</w:t>
      </w:r>
      <w:r>
        <w:rPr>
          <w:rFonts w:hint="eastAsia" w:ascii="宋体" w:hAnsi="Times New Roman" w:cs="Times New Roman"/>
          <w:color w:val="000000"/>
          <w:kern w:val="0"/>
          <w:szCs w:val="21"/>
        </w:rPr>
        <w:t>.</w:t>
      </w:r>
      <w:r>
        <w:rPr>
          <w:rFonts w:ascii="宋体" w:hAnsi="Times New Roman" w:cs="Times New Roman"/>
          <w:color w:val="000000"/>
          <w:kern w:val="0"/>
          <w:szCs w:val="21"/>
        </w:rPr>
        <w:t>4</w:t>
      </w:r>
      <w:r>
        <w:rPr>
          <w:rFonts w:hint="eastAsia" w:ascii="宋体" w:hAnsi="宋体" w:cs="Times New Roman"/>
          <w:color w:val="000000"/>
          <w:kern w:val="0"/>
          <w:szCs w:val="21"/>
        </w:rPr>
        <w:t>条至</w:t>
      </w:r>
      <w:r>
        <w:rPr>
          <w:rFonts w:ascii="宋体" w:hAnsi="宋体" w:cs="Times New Roman"/>
          <w:color w:val="000000"/>
          <w:kern w:val="0"/>
          <w:szCs w:val="21"/>
        </w:rPr>
        <w:t>8</w:t>
      </w:r>
      <w:r>
        <w:rPr>
          <w:rFonts w:hint="eastAsia" w:ascii="宋体" w:hAnsi="Times New Roman" w:cs="Times New Roman"/>
          <w:color w:val="000000"/>
          <w:kern w:val="0"/>
          <w:szCs w:val="21"/>
        </w:rPr>
        <w:t>.</w:t>
      </w:r>
      <w:r>
        <w:rPr>
          <w:rFonts w:hint="eastAsia" w:ascii="宋体" w:hAnsi="宋体" w:cs="Times New Roman"/>
          <w:color w:val="000000"/>
          <w:kern w:val="0"/>
          <w:szCs w:val="21"/>
        </w:rPr>
        <w:t>1</w:t>
      </w:r>
      <w:r>
        <w:rPr>
          <w:rFonts w:ascii="宋体" w:hAnsi="Times New Roman" w:cs="Times New Roman"/>
          <w:color w:val="000000"/>
          <w:kern w:val="0"/>
          <w:szCs w:val="21"/>
        </w:rPr>
        <w:t>0</w:t>
      </w:r>
      <w:r>
        <w:rPr>
          <w:rFonts w:hint="eastAsia" w:ascii="宋体" w:hAnsi="宋体" w:cs="Times New Roman"/>
          <w:color w:val="000000"/>
          <w:kern w:val="0"/>
          <w:szCs w:val="21"/>
        </w:rPr>
        <w:t>条鉴定项目中鉴定结论均为“符合”的，该送检样品的综合鉴定结论为：对送检样品进行了全面鉴定，未发现与对比样品之间存在不一致情况，并分析不存在通过现有技术手段无法发现仿冒可能性。鉴定意见：符合品牌饰品特征。</w:t>
      </w:r>
    </w:p>
    <w:p w14:paraId="54F857FD">
      <w:pPr>
        <w:pStyle w:val="233"/>
        <w:numPr>
          <w:ilvl w:val="2"/>
          <w:numId w:val="35"/>
        </w:numPr>
        <w:spacing w:before="120" w:beforeLines="50" w:after="120" w:afterLines="50"/>
        <w:outlineLvl w:val="2"/>
        <w:rPr>
          <w:rFonts w:ascii="黑体" w:hAnsi="黑体" w:eastAsia="黑体" w:cs="Times New Roman"/>
          <w:color w:val="000000"/>
          <w:sz w:val="21"/>
          <w:szCs w:val="21"/>
        </w:rPr>
      </w:pPr>
      <w:bookmarkStart w:id="117" w:name="_Toc183106451"/>
      <w:r>
        <w:rPr>
          <w:rFonts w:hint="eastAsia" w:ascii="黑体" w:hAnsi="黑体" w:eastAsia="黑体" w:cs="Times New Roman"/>
          <w:color w:val="000000"/>
          <w:sz w:val="21"/>
          <w:szCs w:val="21"/>
        </w:rPr>
        <w:t>送检样品不符合品牌饰品特征</w:t>
      </w:r>
      <w:bookmarkEnd w:id="117"/>
    </w:p>
    <w:p w14:paraId="565468A4">
      <w:pPr>
        <w:widowControl/>
        <w:ind w:firstLine="424" w:firstLineChars="202"/>
        <w:rPr>
          <w:rFonts w:ascii="宋体" w:hAnsi="Times New Roman" w:cs="Times New Roman"/>
          <w:color w:val="000000"/>
          <w:kern w:val="0"/>
          <w:szCs w:val="21"/>
        </w:rPr>
      </w:pPr>
      <w:r>
        <w:rPr>
          <w:rFonts w:hint="eastAsia" w:ascii="宋体" w:hAnsi="宋体" w:cs="Times New Roman"/>
          <w:color w:val="000000"/>
          <w:kern w:val="0"/>
          <w:szCs w:val="21"/>
        </w:rPr>
        <w:t>如</w:t>
      </w:r>
      <w:r>
        <w:rPr>
          <w:rFonts w:ascii="宋体" w:hAnsi="宋体" w:cs="Times New Roman"/>
          <w:color w:val="000000"/>
          <w:kern w:val="0"/>
          <w:szCs w:val="21"/>
        </w:rPr>
        <w:t>8</w:t>
      </w:r>
      <w:r>
        <w:rPr>
          <w:rFonts w:hint="eastAsia" w:ascii="宋体" w:hAnsi="Times New Roman" w:cs="Times New Roman"/>
          <w:color w:val="000000"/>
          <w:kern w:val="0"/>
          <w:szCs w:val="21"/>
        </w:rPr>
        <w:t>.3</w:t>
      </w:r>
      <w:r>
        <w:rPr>
          <w:rFonts w:hint="eastAsia" w:ascii="宋体" w:hAnsi="宋体" w:cs="Times New Roman"/>
          <w:color w:val="000000"/>
          <w:kern w:val="0"/>
          <w:szCs w:val="21"/>
        </w:rPr>
        <w:t>条至</w:t>
      </w:r>
      <w:r>
        <w:rPr>
          <w:rFonts w:ascii="宋体" w:hAnsi="宋体" w:cs="Times New Roman"/>
          <w:color w:val="000000"/>
          <w:kern w:val="0"/>
          <w:szCs w:val="21"/>
        </w:rPr>
        <w:t>8</w:t>
      </w:r>
      <w:r>
        <w:rPr>
          <w:rFonts w:hint="eastAsia" w:ascii="宋体" w:hAnsi="Times New Roman" w:cs="Times New Roman"/>
          <w:color w:val="000000"/>
          <w:kern w:val="0"/>
          <w:szCs w:val="21"/>
        </w:rPr>
        <w:t>.</w:t>
      </w:r>
      <w:r>
        <w:rPr>
          <w:rFonts w:hint="eastAsia" w:ascii="宋体" w:hAnsi="宋体" w:cs="Times New Roman"/>
          <w:color w:val="000000"/>
          <w:kern w:val="0"/>
          <w:szCs w:val="21"/>
        </w:rPr>
        <w:t>1</w:t>
      </w:r>
      <w:r>
        <w:rPr>
          <w:rFonts w:hint="eastAsia" w:ascii="宋体" w:hAnsi="Times New Roman" w:cs="Times New Roman"/>
          <w:color w:val="000000"/>
          <w:kern w:val="0"/>
          <w:szCs w:val="21"/>
        </w:rPr>
        <w:t>0</w:t>
      </w:r>
      <w:r>
        <w:rPr>
          <w:rFonts w:hint="eastAsia" w:ascii="宋体" w:hAnsi="宋体" w:cs="Times New Roman"/>
          <w:color w:val="000000"/>
          <w:kern w:val="0"/>
          <w:szCs w:val="21"/>
        </w:rPr>
        <w:t>条鉴定项目中有一项鉴定结论为不符合品牌特征的，则该送检样品的综合鉴定结论为：对送检样品进行了全面鉴定，发现与品牌存在不一致情况，并分析为仿冒行为构成的不一致。鉴定意见：不符合品牌饰品特征。</w:t>
      </w:r>
    </w:p>
    <w:p w14:paraId="7F3F2C59">
      <w:pPr>
        <w:pStyle w:val="233"/>
        <w:numPr>
          <w:ilvl w:val="2"/>
          <w:numId w:val="35"/>
        </w:numPr>
        <w:spacing w:before="120" w:beforeLines="50" w:after="120" w:afterLines="50"/>
        <w:outlineLvl w:val="2"/>
        <w:rPr>
          <w:rFonts w:ascii="黑体" w:hAnsi="黑体" w:eastAsia="黑体" w:cs="Times New Roman"/>
          <w:color w:val="000000"/>
          <w:sz w:val="21"/>
          <w:szCs w:val="21"/>
        </w:rPr>
      </w:pPr>
      <w:bookmarkStart w:id="118" w:name="_Toc183106452"/>
      <w:r>
        <w:rPr>
          <w:rFonts w:hint="eastAsia" w:ascii="黑体" w:hAnsi="黑体" w:eastAsia="黑体" w:cs="Times New Roman"/>
          <w:color w:val="000000"/>
          <w:sz w:val="21"/>
          <w:szCs w:val="21"/>
        </w:rPr>
        <w:t>无法判断送检样品是否符合饰品特征</w:t>
      </w:r>
      <w:bookmarkEnd w:id="118"/>
    </w:p>
    <w:p w14:paraId="3B727031">
      <w:pPr>
        <w:widowControl/>
        <w:ind w:firstLine="420" w:firstLineChars="200"/>
        <w:outlineLvl w:val="2"/>
        <w:rPr>
          <w:rFonts w:ascii="黑体" w:hAnsi="黑体" w:eastAsia="黑体" w:cs="Times New Roman"/>
          <w:kern w:val="0"/>
          <w:szCs w:val="21"/>
        </w:rPr>
      </w:pPr>
      <w:r>
        <w:rPr>
          <w:rFonts w:hint="eastAsia" w:ascii="宋体" w:hAnsi="宋体" w:cs="Times New Roman"/>
          <w:kern w:val="0"/>
          <w:szCs w:val="21"/>
        </w:rPr>
        <w:t>非</w:t>
      </w:r>
      <w:r>
        <w:rPr>
          <w:rFonts w:ascii="宋体" w:hAnsi="宋体" w:cs="Times New Roman"/>
          <w:kern w:val="0"/>
          <w:szCs w:val="21"/>
        </w:rPr>
        <w:t>8</w:t>
      </w:r>
      <w:r>
        <w:rPr>
          <w:rFonts w:hint="eastAsia" w:ascii="宋体" w:hAnsi="黑体" w:cs="Times New Roman"/>
          <w:kern w:val="0"/>
          <w:szCs w:val="21"/>
        </w:rPr>
        <w:t>.11.2</w:t>
      </w:r>
      <w:r>
        <w:rPr>
          <w:rFonts w:hint="eastAsia" w:ascii="宋体" w:hAnsi="宋体" w:cs="Times New Roman"/>
          <w:kern w:val="0"/>
          <w:szCs w:val="21"/>
        </w:rPr>
        <w:t>条至</w:t>
      </w:r>
      <w:r>
        <w:rPr>
          <w:rFonts w:ascii="宋体" w:hAnsi="宋体" w:cs="Times New Roman"/>
          <w:kern w:val="0"/>
          <w:szCs w:val="21"/>
        </w:rPr>
        <w:t>8</w:t>
      </w:r>
      <w:r>
        <w:rPr>
          <w:rFonts w:hint="eastAsia" w:ascii="宋体" w:hAnsi="黑体" w:cs="Times New Roman"/>
          <w:kern w:val="0"/>
          <w:szCs w:val="21"/>
        </w:rPr>
        <w:t>.11.</w:t>
      </w:r>
      <w:r>
        <w:rPr>
          <w:rFonts w:ascii="宋体" w:hAnsi="黑体" w:cs="Times New Roman"/>
          <w:kern w:val="0"/>
          <w:szCs w:val="21"/>
        </w:rPr>
        <w:t>3</w:t>
      </w:r>
      <w:r>
        <w:rPr>
          <w:rFonts w:hint="eastAsia" w:ascii="宋体" w:hAnsi="宋体" w:cs="Times New Roman"/>
          <w:kern w:val="0"/>
          <w:szCs w:val="21"/>
        </w:rPr>
        <w:t>条的综合鉴定结论，该送检样品的综合鉴定结论为：对送检样品进行了有效鉴定，但由于品牌信息文件或品牌调研文件相关内容不足，或发现送检样品存在与品牌不一致的情况，送检方不同意破坏性取样进行进一步鉴别、无法判别是否为批次间合理性波动，对是否是仿冒行为无法得出一致意见。鉴定意见可表述为：无法判断送检样品是否符合品牌饰品特征。</w:t>
      </w:r>
    </w:p>
    <w:p w14:paraId="3046D607">
      <w:pPr>
        <w:pStyle w:val="253"/>
        <w:spacing w:before="120" w:after="120"/>
        <w:rPr>
          <w:rFonts w:cs="Times New Roman"/>
        </w:rPr>
      </w:pPr>
      <w:bookmarkStart w:id="119" w:name="_Toc192946503"/>
      <w:r>
        <w:rPr>
          <w:spacing w:val="120"/>
          <w:lang w:eastAsia="zh-CN"/>
        </w:rPr>
        <w:t>参考文</w:t>
      </w:r>
      <w:r>
        <w:rPr>
          <w:lang w:eastAsia="zh-CN"/>
        </w:rPr>
        <w:t>献</w:t>
      </w:r>
      <w:bookmarkEnd w:id="115"/>
      <w:bookmarkEnd w:id="119"/>
    </w:p>
    <w:p w14:paraId="288D964C">
      <w:pPr>
        <w:widowControl/>
        <w:numPr>
          <w:ilvl w:val="0"/>
          <w:numId w:val="1"/>
        </w:numPr>
        <w:tabs>
          <w:tab w:val="clear" w:pos="1646"/>
        </w:tabs>
        <w:autoSpaceDE w:val="0"/>
        <w:autoSpaceDN w:val="0"/>
        <w:ind w:left="0" w:firstLine="420" w:firstLineChars="200"/>
        <w:jc w:val="left"/>
        <w:rPr>
          <w:rFonts w:ascii="宋体" w:hAnsi="Times New Roman" w:cs="Times New Roman"/>
          <w:kern w:val="0"/>
          <w:szCs w:val="20"/>
        </w:rPr>
      </w:pPr>
      <w:r>
        <w:rPr>
          <w:rFonts w:ascii="宋体" w:hAnsi="Times New Roman" w:cs="Times New Roman"/>
          <w:kern w:val="0"/>
          <w:szCs w:val="20"/>
        </w:rPr>
        <w:t>GB/T 16554 钻石分级</w:t>
      </w:r>
    </w:p>
    <w:p w14:paraId="5ACBAD96">
      <w:pPr>
        <w:widowControl/>
        <w:numPr>
          <w:ilvl w:val="0"/>
          <w:numId w:val="1"/>
        </w:numPr>
        <w:tabs>
          <w:tab w:val="clear" w:pos="1646"/>
        </w:tabs>
        <w:autoSpaceDE w:val="0"/>
        <w:autoSpaceDN w:val="0"/>
        <w:ind w:left="0" w:firstLine="420" w:firstLineChars="200"/>
        <w:jc w:val="left"/>
        <w:rPr>
          <w:rFonts w:ascii="宋体" w:hAnsi="Times New Roman" w:cs="Times New Roman"/>
          <w:kern w:val="0"/>
          <w:szCs w:val="20"/>
        </w:rPr>
      </w:pPr>
      <w:r>
        <w:rPr>
          <w:rFonts w:ascii="宋体" w:hAnsi="Times New Roman" w:cs="Times New Roman"/>
          <w:kern w:val="0"/>
          <w:szCs w:val="20"/>
        </w:rPr>
        <w:t>GB/T 18781 珍珠分级</w:t>
      </w:r>
    </w:p>
    <w:p w14:paraId="52CF3460">
      <w:pPr>
        <w:widowControl/>
        <w:numPr>
          <w:ilvl w:val="0"/>
          <w:numId w:val="1"/>
        </w:numPr>
        <w:tabs>
          <w:tab w:val="clear" w:pos="1646"/>
        </w:tabs>
        <w:autoSpaceDE w:val="0"/>
        <w:autoSpaceDN w:val="0"/>
        <w:ind w:left="0" w:firstLine="420" w:firstLineChars="200"/>
        <w:jc w:val="left"/>
        <w:rPr>
          <w:rFonts w:ascii="宋体" w:hAnsi="Times New Roman" w:cs="Times New Roman"/>
          <w:kern w:val="0"/>
          <w:szCs w:val="20"/>
        </w:rPr>
      </w:pPr>
      <w:r>
        <w:rPr>
          <w:rFonts w:ascii="宋体" w:hAnsi="Times New Roman" w:cs="Times New Roman"/>
          <w:kern w:val="0"/>
          <w:szCs w:val="20"/>
        </w:rPr>
        <w:t>GB/T 28748-2012 珠宝玉石饰品产品元数据</w:t>
      </w:r>
    </w:p>
    <w:p w14:paraId="72191B64">
      <w:pPr>
        <w:widowControl/>
        <w:numPr>
          <w:ilvl w:val="0"/>
          <w:numId w:val="1"/>
        </w:numPr>
        <w:tabs>
          <w:tab w:val="clear" w:pos="1646"/>
        </w:tabs>
        <w:autoSpaceDE w:val="0"/>
        <w:autoSpaceDN w:val="0"/>
        <w:ind w:left="0" w:firstLine="420" w:firstLineChars="200"/>
        <w:jc w:val="left"/>
        <w:rPr>
          <w:rFonts w:ascii="宋体" w:hAnsi="Times New Roman" w:cs="Times New Roman"/>
          <w:kern w:val="0"/>
          <w:szCs w:val="20"/>
        </w:rPr>
      </w:pPr>
      <w:r>
        <w:rPr>
          <w:rFonts w:ascii="宋体" w:hAnsi="Times New Roman" w:cs="Times New Roman"/>
          <w:kern w:val="0"/>
          <w:szCs w:val="20"/>
        </w:rPr>
        <w:t>GB/T 31108-2014 首饰镶嵌工艺信息分类与代码</w:t>
      </w:r>
    </w:p>
    <w:p w14:paraId="483CC756">
      <w:pPr>
        <w:widowControl/>
        <w:numPr>
          <w:ilvl w:val="0"/>
          <w:numId w:val="1"/>
        </w:numPr>
        <w:tabs>
          <w:tab w:val="clear" w:pos="1646"/>
        </w:tabs>
        <w:autoSpaceDE w:val="0"/>
        <w:autoSpaceDN w:val="0"/>
        <w:ind w:left="0" w:firstLine="420" w:firstLineChars="200"/>
        <w:jc w:val="left"/>
        <w:rPr>
          <w:rFonts w:ascii="宋体" w:hAnsi="Times New Roman" w:cs="Times New Roman"/>
          <w:kern w:val="0"/>
          <w:szCs w:val="20"/>
        </w:rPr>
      </w:pPr>
      <w:r>
        <w:rPr>
          <w:rFonts w:ascii="宋体" w:hAnsi="Times New Roman" w:cs="Times New Roman"/>
          <w:kern w:val="0"/>
          <w:szCs w:val="20"/>
        </w:rPr>
        <w:t>GB/T 31912-2015 饰品 标识</w:t>
      </w:r>
    </w:p>
    <w:p w14:paraId="5EB7F965">
      <w:pPr>
        <w:widowControl/>
        <w:numPr>
          <w:ilvl w:val="0"/>
          <w:numId w:val="1"/>
        </w:numPr>
        <w:tabs>
          <w:tab w:val="clear" w:pos="1646"/>
        </w:tabs>
        <w:autoSpaceDE w:val="0"/>
        <w:autoSpaceDN w:val="0"/>
        <w:ind w:left="0" w:firstLine="420" w:firstLineChars="200"/>
        <w:jc w:val="left"/>
        <w:rPr>
          <w:rFonts w:ascii="宋体" w:hAnsi="Times New Roman" w:cs="Times New Roman"/>
          <w:kern w:val="0"/>
          <w:szCs w:val="20"/>
        </w:rPr>
      </w:pPr>
      <w:r>
        <w:rPr>
          <w:rFonts w:ascii="宋体" w:hAnsi="Times New Roman" w:cs="Times New Roman"/>
          <w:kern w:val="0"/>
          <w:szCs w:val="20"/>
        </w:rPr>
        <w:t>GB/T 32022-2015 贵金属覆盖层饰品</w:t>
      </w:r>
    </w:p>
    <w:p w14:paraId="52E778A6">
      <w:pPr>
        <w:widowControl/>
        <w:numPr>
          <w:ilvl w:val="0"/>
          <w:numId w:val="1"/>
        </w:numPr>
        <w:tabs>
          <w:tab w:val="clear" w:pos="1646"/>
        </w:tabs>
        <w:autoSpaceDE w:val="0"/>
        <w:autoSpaceDN w:val="0"/>
        <w:ind w:left="0" w:firstLine="420" w:firstLineChars="200"/>
        <w:jc w:val="left"/>
        <w:rPr>
          <w:rFonts w:ascii="宋体" w:hAnsi="Times New Roman" w:cs="Times New Roman"/>
          <w:kern w:val="0"/>
          <w:szCs w:val="20"/>
        </w:rPr>
      </w:pPr>
      <w:r>
        <w:rPr>
          <w:rFonts w:ascii="宋体" w:hAnsi="Times New Roman" w:cs="Times New Roman"/>
          <w:kern w:val="0"/>
          <w:szCs w:val="20"/>
        </w:rPr>
        <w:t>GB/T 32862 蓝宝石分级</w:t>
      </w:r>
    </w:p>
    <w:p w14:paraId="150C53CC">
      <w:pPr>
        <w:widowControl/>
        <w:numPr>
          <w:ilvl w:val="0"/>
          <w:numId w:val="1"/>
        </w:numPr>
        <w:tabs>
          <w:tab w:val="clear" w:pos="1646"/>
        </w:tabs>
        <w:autoSpaceDE w:val="0"/>
        <w:autoSpaceDN w:val="0"/>
        <w:ind w:left="0" w:firstLine="420" w:firstLineChars="200"/>
        <w:jc w:val="left"/>
        <w:rPr>
          <w:rFonts w:ascii="宋体" w:hAnsi="Times New Roman" w:cs="Times New Roman"/>
          <w:kern w:val="0"/>
          <w:szCs w:val="20"/>
        </w:rPr>
      </w:pPr>
      <w:r>
        <w:rPr>
          <w:rFonts w:ascii="宋体" w:hAnsi="Times New Roman" w:cs="Times New Roman"/>
          <w:kern w:val="0"/>
          <w:szCs w:val="20"/>
        </w:rPr>
        <w:t>GB/T 32863 红宝石分级</w:t>
      </w:r>
    </w:p>
    <w:p w14:paraId="14F76445">
      <w:pPr>
        <w:widowControl/>
        <w:numPr>
          <w:ilvl w:val="0"/>
          <w:numId w:val="1"/>
        </w:numPr>
        <w:tabs>
          <w:tab w:val="clear" w:pos="1646"/>
        </w:tabs>
        <w:autoSpaceDE w:val="0"/>
        <w:autoSpaceDN w:val="0"/>
        <w:ind w:left="0" w:firstLine="420" w:firstLineChars="200"/>
        <w:jc w:val="left"/>
        <w:rPr>
          <w:rFonts w:ascii="宋体" w:hAnsi="Times New Roman" w:cs="Times New Roman"/>
          <w:kern w:val="0"/>
          <w:szCs w:val="20"/>
        </w:rPr>
      </w:pPr>
      <w:r>
        <w:rPr>
          <w:rFonts w:ascii="宋体" w:hAnsi="Times New Roman" w:cs="Times New Roman"/>
          <w:kern w:val="0"/>
          <w:szCs w:val="20"/>
        </w:rPr>
        <w:t>GB/T 34098-2017 石英质玉 分类与定名</w:t>
      </w:r>
    </w:p>
    <w:p w14:paraId="71CE7684">
      <w:pPr>
        <w:widowControl/>
        <w:numPr>
          <w:ilvl w:val="0"/>
          <w:numId w:val="1"/>
        </w:numPr>
        <w:tabs>
          <w:tab w:val="left" w:pos="993"/>
          <w:tab w:val="clear" w:pos="1646"/>
        </w:tabs>
        <w:autoSpaceDE w:val="0"/>
        <w:autoSpaceDN w:val="0"/>
        <w:ind w:left="0" w:firstLine="420" w:firstLineChars="200"/>
        <w:jc w:val="left"/>
        <w:rPr>
          <w:rFonts w:ascii="宋体" w:hAnsi="Times New Roman" w:cs="Times New Roman"/>
          <w:kern w:val="0"/>
          <w:szCs w:val="20"/>
        </w:rPr>
      </w:pPr>
      <w:r>
        <w:rPr>
          <w:rFonts w:ascii="宋体" w:hAnsi="Times New Roman" w:cs="Times New Roman"/>
          <w:kern w:val="0"/>
          <w:szCs w:val="20"/>
        </w:rPr>
        <w:t>GB/T 34543-2017 黄色钻石分级</w:t>
      </w:r>
    </w:p>
    <w:p w14:paraId="18A5A2C9">
      <w:pPr>
        <w:widowControl/>
        <w:numPr>
          <w:ilvl w:val="0"/>
          <w:numId w:val="1"/>
        </w:numPr>
        <w:tabs>
          <w:tab w:val="left" w:pos="993"/>
          <w:tab w:val="clear" w:pos="1646"/>
        </w:tabs>
        <w:autoSpaceDE w:val="0"/>
        <w:autoSpaceDN w:val="0"/>
        <w:ind w:left="0" w:firstLine="420" w:firstLineChars="200"/>
        <w:jc w:val="left"/>
        <w:rPr>
          <w:rFonts w:ascii="宋体" w:hAnsi="Times New Roman" w:cs="Times New Roman"/>
          <w:kern w:val="0"/>
          <w:szCs w:val="20"/>
        </w:rPr>
      </w:pPr>
      <w:r>
        <w:rPr>
          <w:rFonts w:ascii="宋体" w:hAnsi="Times New Roman" w:cs="Times New Roman"/>
          <w:kern w:val="0"/>
          <w:szCs w:val="20"/>
        </w:rPr>
        <w:t>GB/T 34545-2017 祖母绿分级</w:t>
      </w:r>
    </w:p>
    <w:p w14:paraId="2562C406">
      <w:pPr>
        <w:widowControl/>
        <w:numPr>
          <w:ilvl w:val="0"/>
          <w:numId w:val="1"/>
        </w:numPr>
        <w:tabs>
          <w:tab w:val="left" w:pos="993"/>
          <w:tab w:val="clear" w:pos="1646"/>
        </w:tabs>
        <w:autoSpaceDE w:val="0"/>
        <w:autoSpaceDN w:val="0"/>
        <w:ind w:left="0" w:firstLine="420" w:firstLineChars="200"/>
        <w:jc w:val="left"/>
        <w:rPr>
          <w:rFonts w:ascii="宋体" w:hAnsi="Times New Roman" w:cs="Times New Roman"/>
          <w:kern w:val="0"/>
          <w:szCs w:val="20"/>
        </w:rPr>
      </w:pPr>
      <w:r>
        <w:rPr>
          <w:rFonts w:ascii="宋体" w:hAnsi="Times New Roman" w:cs="Times New Roman"/>
          <w:kern w:val="0"/>
          <w:szCs w:val="20"/>
        </w:rPr>
        <w:t>GB/T 36127-2018 玉雕制品工艺质量评价</w:t>
      </w:r>
    </w:p>
    <w:p w14:paraId="5906ED33">
      <w:pPr>
        <w:widowControl/>
        <w:numPr>
          <w:ilvl w:val="0"/>
          <w:numId w:val="1"/>
        </w:numPr>
        <w:tabs>
          <w:tab w:val="left" w:pos="993"/>
          <w:tab w:val="clear" w:pos="1646"/>
        </w:tabs>
        <w:autoSpaceDE w:val="0"/>
        <w:autoSpaceDN w:val="0"/>
        <w:ind w:left="0" w:firstLine="420" w:firstLineChars="200"/>
        <w:jc w:val="left"/>
        <w:rPr>
          <w:rFonts w:ascii="宋体" w:hAnsi="Times New Roman" w:cs="Times New Roman"/>
          <w:kern w:val="0"/>
          <w:szCs w:val="20"/>
        </w:rPr>
      </w:pPr>
      <w:r>
        <w:rPr>
          <w:rFonts w:ascii="宋体" w:hAnsi="Times New Roman" w:cs="Times New Roman"/>
          <w:kern w:val="0"/>
          <w:szCs w:val="20"/>
        </w:rPr>
        <w:t>GB/T 36168-2018 绿松石 鉴定</w:t>
      </w:r>
    </w:p>
    <w:p w14:paraId="79C6A141">
      <w:pPr>
        <w:widowControl/>
        <w:numPr>
          <w:ilvl w:val="0"/>
          <w:numId w:val="1"/>
        </w:numPr>
        <w:tabs>
          <w:tab w:val="left" w:pos="993"/>
          <w:tab w:val="clear" w:pos="1646"/>
        </w:tabs>
        <w:autoSpaceDE w:val="0"/>
        <w:autoSpaceDN w:val="0"/>
        <w:ind w:left="0" w:firstLine="420" w:firstLineChars="200"/>
        <w:jc w:val="left"/>
        <w:rPr>
          <w:rFonts w:ascii="宋体" w:hAnsi="Times New Roman" w:cs="Times New Roman"/>
          <w:kern w:val="0"/>
          <w:szCs w:val="20"/>
        </w:rPr>
      </w:pPr>
      <w:r>
        <w:rPr>
          <w:rFonts w:ascii="宋体" w:hAnsi="Times New Roman" w:cs="Times New Roman"/>
          <w:kern w:val="0"/>
          <w:szCs w:val="20"/>
        </w:rPr>
        <w:t>GB/T 36169-2018 绿松石 分级</w:t>
      </w:r>
    </w:p>
    <w:p w14:paraId="542531C0">
      <w:pPr>
        <w:widowControl/>
        <w:numPr>
          <w:ilvl w:val="0"/>
          <w:numId w:val="1"/>
        </w:numPr>
        <w:tabs>
          <w:tab w:val="left" w:pos="993"/>
          <w:tab w:val="clear" w:pos="1646"/>
        </w:tabs>
        <w:autoSpaceDE w:val="0"/>
        <w:autoSpaceDN w:val="0"/>
        <w:ind w:left="0" w:firstLine="420" w:firstLineChars="200"/>
        <w:jc w:val="left"/>
        <w:rPr>
          <w:rFonts w:ascii="宋体" w:hAnsi="Times New Roman" w:cs="Times New Roman"/>
          <w:kern w:val="0"/>
          <w:szCs w:val="20"/>
        </w:rPr>
      </w:pPr>
      <w:r>
        <w:rPr>
          <w:rFonts w:ascii="宋体" w:hAnsi="Times New Roman" w:cs="Times New Roman"/>
          <w:kern w:val="0"/>
          <w:szCs w:val="20"/>
        </w:rPr>
        <w:t>GB/T 37460-2019 琥珀 鉴定与分类</w:t>
      </w:r>
    </w:p>
    <w:p w14:paraId="31F2653F">
      <w:pPr>
        <w:widowControl/>
        <w:numPr>
          <w:ilvl w:val="0"/>
          <w:numId w:val="1"/>
        </w:numPr>
        <w:tabs>
          <w:tab w:val="left" w:pos="993"/>
          <w:tab w:val="clear" w:pos="1646"/>
        </w:tabs>
        <w:autoSpaceDE w:val="0"/>
        <w:autoSpaceDN w:val="0"/>
        <w:ind w:left="0" w:firstLine="420" w:firstLineChars="200"/>
        <w:jc w:val="left"/>
        <w:rPr>
          <w:rFonts w:ascii="宋体" w:hAnsi="Times New Roman" w:cs="Times New Roman"/>
          <w:kern w:val="0"/>
          <w:szCs w:val="20"/>
        </w:rPr>
      </w:pPr>
      <w:r>
        <w:rPr>
          <w:rFonts w:ascii="宋体" w:hAnsi="Times New Roman" w:cs="Times New Roman"/>
          <w:kern w:val="0"/>
          <w:szCs w:val="20"/>
        </w:rPr>
        <w:t>GB/T 38816-2020 玛瑙 北红玛瑙 鉴定</w:t>
      </w:r>
    </w:p>
    <w:p w14:paraId="3B22FB34">
      <w:pPr>
        <w:widowControl/>
        <w:numPr>
          <w:ilvl w:val="0"/>
          <w:numId w:val="1"/>
        </w:numPr>
        <w:tabs>
          <w:tab w:val="left" w:pos="993"/>
          <w:tab w:val="clear" w:pos="1646"/>
        </w:tabs>
        <w:autoSpaceDE w:val="0"/>
        <w:autoSpaceDN w:val="0"/>
        <w:ind w:left="0" w:firstLine="420" w:firstLineChars="200"/>
        <w:jc w:val="left"/>
        <w:rPr>
          <w:rFonts w:ascii="宋体" w:hAnsi="Times New Roman" w:cs="Times New Roman"/>
          <w:kern w:val="0"/>
          <w:szCs w:val="20"/>
        </w:rPr>
      </w:pPr>
      <w:r>
        <w:rPr>
          <w:rFonts w:ascii="宋体" w:hAnsi="Times New Roman" w:cs="Times New Roman"/>
          <w:kern w:val="0"/>
          <w:szCs w:val="20"/>
        </w:rPr>
        <w:t>GB/T 38821-2020 和田玉 鉴定与分类</w:t>
      </w:r>
    </w:p>
    <w:p w14:paraId="480BC126">
      <w:pPr>
        <w:widowControl/>
        <w:numPr>
          <w:ilvl w:val="0"/>
          <w:numId w:val="1"/>
        </w:numPr>
        <w:tabs>
          <w:tab w:val="left" w:pos="993"/>
          <w:tab w:val="clear" w:pos="1646"/>
        </w:tabs>
        <w:autoSpaceDE w:val="0"/>
        <w:autoSpaceDN w:val="0"/>
        <w:ind w:left="0" w:firstLine="420" w:firstLineChars="200"/>
        <w:jc w:val="left"/>
        <w:rPr>
          <w:rFonts w:ascii="宋体" w:hAnsi="Times New Roman" w:cs="Times New Roman"/>
          <w:kern w:val="0"/>
          <w:szCs w:val="20"/>
        </w:rPr>
      </w:pPr>
      <w:r>
        <w:rPr>
          <w:rFonts w:ascii="宋体" w:hAnsi="Times New Roman" w:cs="Times New Roman"/>
          <w:kern w:val="0"/>
          <w:szCs w:val="20"/>
        </w:rPr>
        <w:t>GB/T 41609-2022 金银饰品传统工艺 术语</w:t>
      </w:r>
    </w:p>
    <w:p w14:paraId="05FD9EAF">
      <w:pPr>
        <w:widowControl/>
        <w:numPr>
          <w:ilvl w:val="0"/>
          <w:numId w:val="1"/>
        </w:numPr>
        <w:tabs>
          <w:tab w:val="left" w:pos="993"/>
          <w:tab w:val="clear" w:pos="1646"/>
        </w:tabs>
        <w:autoSpaceDE w:val="0"/>
        <w:autoSpaceDN w:val="0"/>
        <w:ind w:left="0" w:firstLine="420" w:firstLineChars="200"/>
        <w:jc w:val="left"/>
        <w:rPr>
          <w:rFonts w:ascii="宋体" w:hAnsi="Times New Roman" w:cs="Times New Roman"/>
          <w:kern w:val="0"/>
          <w:szCs w:val="20"/>
        </w:rPr>
      </w:pPr>
      <w:r>
        <w:rPr>
          <w:rFonts w:ascii="宋体" w:hAnsi="Times New Roman" w:cs="Times New Roman"/>
          <w:kern w:val="0"/>
          <w:szCs w:val="20"/>
        </w:rPr>
        <w:t>GB/T 42220-2022 金镶玉镶嵌工艺质量评价</w:t>
      </w:r>
    </w:p>
    <w:p w14:paraId="6DBD44D0">
      <w:pPr>
        <w:widowControl/>
        <w:numPr>
          <w:ilvl w:val="0"/>
          <w:numId w:val="1"/>
        </w:numPr>
        <w:tabs>
          <w:tab w:val="left" w:pos="993"/>
          <w:tab w:val="clear" w:pos="1646"/>
        </w:tabs>
        <w:autoSpaceDE w:val="0"/>
        <w:autoSpaceDN w:val="0"/>
        <w:ind w:left="0" w:firstLine="420" w:firstLineChars="200"/>
        <w:jc w:val="left"/>
        <w:rPr>
          <w:rFonts w:ascii="宋体" w:hAnsi="Times New Roman" w:cs="Times New Roman"/>
          <w:kern w:val="0"/>
          <w:szCs w:val="20"/>
        </w:rPr>
      </w:pPr>
      <w:r>
        <w:rPr>
          <w:rFonts w:ascii="宋体" w:hAnsi="Times New Roman" w:cs="Times New Roman"/>
          <w:kern w:val="0"/>
          <w:szCs w:val="20"/>
        </w:rPr>
        <w:t>GB/T 42433-2023 珠宝玉石鉴定 红外光谱法</w:t>
      </w:r>
    </w:p>
    <w:p w14:paraId="1105C3F8">
      <w:pPr>
        <w:widowControl/>
        <w:numPr>
          <w:ilvl w:val="0"/>
          <w:numId w:val="1"/>
        </w:numPr>
        <w:tabs>
          <w:tab w:val="left" w:pos="993"/>
          <w:tab w:val="clear" w:pos="1646"/>
        </w:tabs>
        <w:autoSpaceDE w:val="0"/>
        <w:autoSpaceDN w:val="0"/>
        <w:ind w:left="0" w:firstLine="420" w:firstLineChars="200"/>
        <w:jc w:val="left"/>
        <w:rPr>
          <w:rFonts w:ascii="宋体" w:hAnsi="Times New Roman" w:cs="Times New Roman"/>
          <w:kern w:val="0"/>
          <w:szCs w:val="20"/>
        </w:rPr>
      </w:pPr>
      <w:r>
        <w:rPr>
          <w:rFonts w:ascii="宋体" w:hAnsi="Times New Roman" w:cs="Times New Roman"/>
          <w:kern w:val="0"/>
          <w:szCs w:val="20"/>
        </w:rPr>
        <w:t>GB/T 42437-2023 南红 鉴定</w:t>
      </w:r>
    </w:p>
    <w:p w14:paraId="253BC3DB">
      <w:pPr>
        <w:widowControl/>
        <w:numPr>
          <w:ilvl w:val="0"/>
          <w:numId w:val="1"/>
        </w:numPr>
        <w:tabs>
          <w:tab w:val="left" w:pos="993"/>
          <w:tab w:val="clear" w:pos="1646"/>
        </w:tabs>
        <w:autoSpaceDE w:val="0"/>
        <w:autoSpaceDN w:val="0"/>
        <w:ind w:left="0" w:firstLine="420" w:firstLineChars="200"/>
        <w:jc w:val="left"/>
        <w:rPr>
          <w:rFonts w:ascii="宋体" w:hAnsi="Times New Roman" w:cs="Times New Roman"/>
          <w:kern w:val="0"/>
          <w:szCs w:val="20"/>
        </w:rPr>
      </w:pPr>
      <w:r>
        <w:rPr>
          <w:rFonts w:ascii="宋体" w:hAnsi="Times New Roman" w:cs="Times New Roman"/>
          <w:kern w:val="0"/>
          <w:szCs w:val="20"/>
        </w:rPr>
        <w:t>GB/T 43447-2023 首饰 金合金颜色 定义、颜色范围和命名</w:t>
      </w:r>
    </w:p>
    <w:p w14:paraId="00D57C55">
      <w:pPr>
        <w:widowControl/>
        <w:numPr>
          <w:ilvl w:val="0"/>
          <w:numId w:val="1"/>
        </w:numPr>
        <w:tabs>
          <w:tab w:val="left" w:pos="993"/>
          <w:tab w:val="clear" w:pos="1646"/>
        </w:tabs>
        <w:autoSpaceDE w:val="0"/>
        <w:autoSpaceDN w:val="0"/>
        <w:ind w:left="0" w:firstLine="420" w:firstLineChars="200"/>
        <w:jc w:val="left"/>
        <w:rPr>
          <w:rFonts w:ascii="宋体" w:hAnsi="Times New Roman" w:cs="Times New Roman"/>
          <w:kern w:val="0"/>
          <w:szCs w:val="20"/>
        </w:rPr>
      </w:pPr>
      <w:r>
        <w:rPr>
          <w:rFonts w:ascii="宋体" w:hAnsi="Times New Roman" w:cs="Times New Roman"/>
          <w:kern w:val="0"/>
          <w:szCs w:val="20"/>
        </w:rPr>
        <w:t>QB/T 2062—2015 贵金属饰品</w:t>
      </w:r>
    </w:p>
    <w:p w14:paraId="190F7F34">
      <w:pPr>
        <w:widowControl/>
        <w:numPr>
          <w:ilvl w:val="0"/>
          <w:numId w:val="1"/>
        </w:numPr>
        <w:tabs>
          <w:tab w:val="left" w:pos="993"/>
          <w:tab w:val="clear" w:pos="1646"/>
        </w:tabs>
        <w:autoSpaceDE w:val="0"/>
        <w:autoSpaceDN w:val="0"/>
        <w:ind w:left="0" w:firstLine="420" w:firstLineChars="200"/>
        <w:jc w:val="left"/>
        <w:rPr>
          <w:rFonts w:ascii="宋体" w:hAnsi="Times New Roman" w:cs="Times New Roman"/>
          <w:kern w:val="0"/>
          <w:szCs w:val="20"/>
        </w:rPr>
      </w:pPr>
      <w:r>
        <w:rPr>
          <w:rFonts w:ascii="宋体" w:hAnsi="Times New Roman" w:cs="Times New Roman"/>
          <w:kern w:val="0"/>
          <w:szCs w:val="20"/>
        </w:rPr>
        <w:t>QB/T 4183—2012 鸡血石制品 分级</w:t>
      </w:r>
    </w:p>
    <w:p w14:paraId="028FBBD2">
      <w:pPr>
        <w:widowControl/>
        <w:numPr>
          <w:ilvl w:val="0"/>
          <w:numId w:val="1"/>
        </w:numPr>
        <w:tabs>
          <w:tab w:val="left" w:pos="993"/>
          <w:tab w:val="clear" w:pos="1646"/>
        </w:tabs>
        <w:autoSpaceDE w:val="0"/>
        <w:autoSpaceDN w:val="0"/>
        <w:ind w:left="0" w:firstLine="420" w:firstLineChars="200"/>
        <w:jc w:val="left"/>
        <w:rPr>
          <w:rFonts w:ascii="宋体" w:hAnsi="Times New Roman" w:cs="Times New Roman"/>
          <w:kern w:val="0"/>
          <w:szCs w:val="20"/>
        </w:rPr>
      </w:pPr>
      <w:r>
        <w:rPr>
          <w:rFonts w:ascii="宋体" w:hAnsi="Times New Roman" w:cs="Times New Roman"/>
          <w:kern w:val="0"/>
          <w:szCs w:val="20"/>
        </w:rPr>
        <w:t>QB/T 4365—2012 碳化钨饰品</w:t>
      </w:r>
    </w:p>
    <w:p w14:paraId="5F2522AB">
      <w:pPr>
        <w:widowControl/>
        <w:numPr>
          <w:ilvl w:val="0"/>
          <w:numId w:val="1"/>
        </w:numPr>
        <w:tabs>
          <w:tab w:val="left" w:pos="993"/>
          <w:tab w:val="clear" w:pos="1646"/>
        </w:tabs>
        <w:autoSpaceDE w:val="0"/>
        <w:autoSpaceDN w:val="0"/>
        <w:ind w:left="0" w:firstLine="420" w:firstLineChars="200"/>
        <w:jc w:val="left"/>
        <w:rPr>
          <w:rFonts w:ascii="宋体" w:hAnsi="Times New Roman" w:cs="Times New Roman"/>
          <w:kern w:val="0"/>
          <w:szCs w:val="20"/>
        </w:rPr>
      </w:pPr>
      <w:r>
        <w:rPr>
          <w:rFonts w:ascii="宋体" w:hAnsi="Times New Roman" w:cs="Times New Roman"/>
          <w:kern w:val="0"/>
          <w:szCs w:val="20"/>
        </w:rPr>
        <w:t>QB/T 4725—2014 贵金属艺雕复镶首饰</w:t>
      </w:r>
    </w:p>
    <w:p w14:paraId="2EAFE53C">
      <w:pPr>
        <w:widowControl/>
        <w:numPr>
          <w:ilvl w:val="0"/>
          <w:numId w:val="1"/>
        </w:numPr>
        <w:tabs>
          <w:tab w:val="left" w:pos="993"/>
          <w:tab w:val="clear" w:pos="1646"/>
        </w:tabs>
        <w:autoSpaceDE w:val="0"/>
        <w:autoSpaceDN w:val="0"/>
        <w:ind w:left="0" w:firstLine="420" w:firstLineChars="200"/>
        <w:jc w:val="left"/>
        <w:rPr>
          <w:rFonts w:ascii="宋体" w:hAnsi="Times New Roman" w:cs="Times New Roman"/>
          <w:kern w:val="0"/>
          <w:szCs w:val="20"/>
        </w:rPr>
      </w:pPr>
      <w:r>
        <w:rPr>
          <w:rFonts w:hint="eastAsia" w:ascii="宋体" w:hAnsi="Times New Roman" w:cs="Times New Roman"/>
          <w:kern w:val="0"/>
          <w:szCs w:val="20"/>
        </w:rPr>
        <w:t>QB/T</w:t>
      </w:r>
      <w:r>
        <w:rPr>
          <w:rFonts w:ascii="宋体" w:hAnsi="Times New Roman" w:cs="Times New Roman"/>
          <w:kern w:val="0"/>
          <w:szCs w:val="20"/>
        </w:rPr>
        <w:t xml:space="preserve"> 5233—2018 </w:t>
      </w:r>
      <w:r>
        <w:rPr>
          <w:rFonts w:hint="eastAsia" w:ascii="宋体" w:hAnsi="Times New Roman" w:cs="Times New Roman"/>
          <w:kern w:val="0"/>
          <w:szCs w:val="20"/>
        </w:rPr>
        <w:t>贵金属饰品制造工艺术语</w:t>
      </w:r>
    </w:p>
    <w:p w14:paraId="2CF9FF32">
      <w:pPr>
        <w:widowControl/>
        <w:numPr>
          <w:ilvl w:val="0"/>
          <w:numId w:val="1"/>
        </w:numPr>
        <w:tabs>
          <w:tab w:val="left" w:pos="993"/>
          <w:tab w:val="clear" w:pos="1646"/>
        </w:tabs>
        <w:autoSpaceDE w:val="0"/>
        <w:autoSpaceDN w:val="0"/>
        <w:ind w:left="0" w:firstLine="420" w:firstLineChars="200"/>
        <w:jc w:val="left"/>
        <w:rPr>
          <w:rFonts w:ascii="宋体" w:hAnsi="Times New Roman" w:cs="Times New Roman"/>
          <w:kern w:val="0"/>
          <w:szCs w:val="20"/>
        </w:rPr>
      </w:pPr>
      <w:r>
        <w:rPr>
          <w:rFonts w:ascii="宋体" w:hAnsi="Times New Roman" w:cs="Times New Roman"/>
          <w:kern w:val="0"/>
          <w:szCs w:val="20"/>
        </w:rPr>
        <w:t>DZ/T 0412-2022 苏纪石 鉴定与分类</w:t>
      </w:r>
    </w:p>
    <w:p w14:paraId="0DBFF72F">
      <w:pPr>
        <w:widowControl/>
        <w:numPr>
          <w:ilvl w:val="0"/>
          <w:numId w:val="1"/>
        </w:numPr>
        <w:tabs>
          <w:tab w:val="left" w:pos="993"/>
          <w:tab w:val="clear" w:pos="1646"/>
        </w:tabs>
        <w:autoSpaceDE w:val="0"/>
        <w:autoSpaceDN w:val="0"/>
        <w:ind w:left="0" w:firstLine="420" w:firstLineChars="200"/>
        <w:jc w:val="left"/>
        <w:rPr>
          <w:rFonts w:ascii="宋体" w:hAnsi="Times New Roman" w:cs="Times New Roman"/>
          <w:kern w:val="0"/>
          <w:szCs w:val="20"/>
        </w:rPr>
      </w:pPr>
      <w:r>
        <w:rPr>
          <w:rFonts w:ascii="宋体" w:hAnsi="Times New Roman" w:cs="Times New Roman"/>
          <w:kern w:val="0"/>
          <w:szCs w:val="20"/>
        </w:rPr>
        <w:t>DZ/T 0413—2022 珐琅 鉴定与分类</w:t>
      </w:r>
    </w:p>
    <w:p w14:paraId="187A8DA2">
      <w:pPr>
        <w:widowControl/>
        <w:numPr>
          <w:ilvl w:val="0"/>
          <w:numId w:val="1"/>
        </w:numPr>
        <w:tabs>
          <w:tab w:val="left" w:pos="993"/>
          <w:tab w:val="clear" w:pos="1646"/>
        </w:tabs>
        <w:autoSpaceDE w:val="0"/>
        <w:autoSpaceDN w:val="0"/>
        <w:ind w:left="0" w:firstLine="420" w:firstLineChars="200"/>
        <w:jc w:val="left"/>
        <w:rPr>
          <w:rFonts w:ascii="宋体" w:hAnsi="Times New Roman" w:cs="Times New Roman"/>
          <w:kern w:val="0"/>
          <w:szCs w:val="20"/>
        </w:rPr>
      </w:pPr>
      <w:r>
        <w:rPr>
          <w:rFonts w:ascii="宋体" w:hAnsi="Times New Roman" w:cs="Times New Roman"/>
          <w:kern w:val="0"/>
          <w:szCs w:val="20"/>
        </w:rPr>
        <w:t>DZ/T 0414—2022 钻石八心八箭效应 测试与分级</w:t>
      </w:r>
    </w:p>
    <w:p w14:paraId="3098453D">
      <w:pPr>
        <w:widowControl/>
        <w:numPr>
          <w:ilvl w:val="0"/>
          <w:numId w:val="1"/>
        </w:numPr>
        <w:tabs>
          <w:tab w:val="left" w:pos="993"/>
          <w:tab w:val="clear" w:pos="1646"/>
        </w:tabs>
        <w:autoSpaceDE w:val="0"/>
        <w:autoSpaceDN w:val="0"/>
        <w:ind w:left="0" w:firstLine="420" w:firstLineChars="200"/>
        <w:jc w:val="left"/>
        <w:rPr>
          <w:rFonts w:ascii="宋体" w:hAnsi="Times New Roman" w:cs="Times New Roman"/>
          <w:kern w:val="0"/>
          <w:szCs w:val="20"/>
        </w:rPr>
      </w:pPr>
      <w:r>
        <w:rPr>
          <w:rFonts w:ascii="宋体" w:hAnsi="Times New Roman" w:cs="Times New Roman"/>
          <w:kern w:val="0"/>
          <w:szCs w:val="20"/>
        </w:rPr>
        <w:t>DZ/T 0415—2022 珠宝玉石饰品制造工艺术语</w:t>
      </w:r>
    </w:p>
    <w:p w14:paraId="5CA4F047">
      <w:pPr>
        <w:widowControl/>
        <w:numPr>
          <w:ilvl w:val="0"/>
          <w:numId w:val="1"/>
        </w:numPr>
        <w:tabs>
          <w:tab w:val="left" w:pos="993"/>
          <w:tab w:val="clear" w:pos="1646"/>
        </w:tabs>
        <w:autoSpaceDE w:val="0"/>
        <w:autoSpaceDN w:val="0"/>
        <w:ind w:left="0" w:firstLine="420" w:firstLineChars="200"/>
        <w:jc w:val="left"/>
        <w:rPr>
          <w:rFonts w:ascii="宋体" w:hAnsi="Times New Roman" w:cs="Times New Roman"/>
          <w:kern w:val="0"/>
          <w:szCs w:val="20"/>
        </w:rPr>
      </w:pPr>
      <w:r>
        <w:rPr>
          <w:rFonts w:ascii="宋体" w:hAnsi="Times New Roman" w:cs="Times New Roman"/>
          <w:kern w:val="0"/>
          <w:szCs w:val="20"/>
        </w:rPr>
        <w:t>DZ/T 0416—2022 海水珍珠与淡水珍珠的鉴别 X射线荧光光谱法</w:t>
      </w:r>
    </w:p>
    <w:p w14:paraId="3EA2B9B2">
      <w:pPr>
        <w:widowControl/>
        <w:numPr>
          <w:ilvl w:val="0"/>
          <w:numId w:val="1"/>
        </w:numPr>
        <w:tabs>
          <w:tab w:val="left" w:pos="993"/>
          <w:tab w:val="clear" w:pos="1646"/>
        </w:tabs>
        <w:autoSpaceDE w:val="0"/>
        <w:autoSpaceDN w:val="0"/>
        <w:ind w:left="1134" w:leftChars="200" w:hanging="714" w:hangingChars="340"/>
        <w:jc w:val="left"/>
        <w:rPr>
          <w:rFonts w:ascii="宋体" w:hAnsi="Times New Roman" w:cs="Times New Roman"/>
          <w:kern w:val="0"/>
          <w:szCs w:val="20"/>
        </w:rPr>
      </w:pPr>
      <w:r>
        <w:rPr>
          <w:rFonts w:ascii="宋体" w:hAnsi="Times New Roman" w:cs="Times New Roman"/>
          <w:kern w:val="0"/>
          <w:szCs w:val="20"/>
        </w:rPr>
        <w:t>DZ/T 0417—2022 珠宝玉石饰品售后服务规范</w:t>
      </w:r>
    </w:p>
    <w:p w14:paraId="03BABCB5">
      <w:pPr>
        <w:widowControl/>
        <w:numPr>
          <w:ilvl w:val="0"/>
          <w:numId w:val="1"/>
        </w:numPr>
        <w:tabs>
          <w:tab w:val="left" w:pos="993"/>
          <w:tab w:val="clear" w:pos="1646"/>
        </w:tabs>
        <w:autoSpaceDE w:val="0"/>
        <w:autoSpaceDN w:val="0"/>
        <w:ind w:left="1134" w:leftChars="200" w:hanging="714" w:hangingChars="340"/>
        <w:jc w:val="left"/>
        <w:rPr>
          <w:rFonts w:ascii="宋体" w:hAnsi="Times New Roman" w:cs="Times New Roman"/>
          <w:kern w:val="0"/>
          <w:szCs w:val="20"/>
        </w:rPr>
      </w:pPr>
      <w:r>
        <w:rPr>
          <w:rFonts w:ascii="宋体" w:hAnsi="Times New Roman" w:cs="Times New Roman"/>
          <w:kern w:val="0"/>
          <w:szCs w:val="20"/>
        </w:rPr>
        <w:t>DZ/T 0418—2022 钻石 花式切工技术规范</w:t>
      </w:r>
    </w:p>
    <w:p w14:paraId="2DE61378">
      <w:pPr>
        <w:widowControl/>
        <w:numPr>
          <w:ilvl w:val="0"/>
          <w:numId w:val="1"/>
        </w:numPr>
        <w:tabs>
          <w:tab w:val="left" w:pos="993"/>
          <w:tab w:val="clear" w:pos="1646"/>
        </w:tabs>
        <w:autoSpaceDE w:val="0"/>
        <w:autoSpaceDN w:val="0"/>
        <w:ind w:left="1134" w:leftChars="200" w:hanging="714" w:hangingChars="340"/>
        <w:jc w:val="left"/>
        <w:rPr>
          <w:rFonts w:ascii="宋体" w:hAnsi="Times New Roman" w:cs="Times New Roman"/>
          <w:kern w:val="0"/>
          <w:szCs w:val="20"/>
        </w:rPr>
      </w:pPr>
      <w:r>
        <w:rPr>
          <w:rFonts w:ascii="宋体" w:hAnsi="Times New Roman" w:cs="Times New Roman"/>
          <w:kern w:val="0"/>
          <w:szCs w:val="20"/>
        </w:rPr>
        <w:t>DZ/T 0414—2022 钻石八心八箭效应 测试与分级</w:t>
      </w:r>
    </w:p>
    <w:p w14:paraId="6E85A068">
      <w:pPr>
        <w:widowControl/>
        <w:numPr>
          <w:ilvl w:val="0"/>
          <w:numId w:val="1"/>
        </w:numPr>
        <w:tabs>
          <w:tab w:val="left" w:pos="993"/>
          <w:tab w:val="clear" w:pos="1646"/>
        </w:tabs>
        <w:autoSpaceDE w:val="0"/>
        <w:autoSpaceDN w:val="0"/>
        <w:ind w:left="1134" w:leftChars="200" w:hanging="714" w:hangingChars="340"/>
        <w:jc w:val="left"/>
        <w:rPr>
          <w:rFonts w:ascii="宋体" w:hAnsi="Times New Roman" w:cs="Times New Roman"/>
          <w:kern w:val="0"/>
          <w:szCs w:val="20"/>
        </w:rPr>
      </w:pPr>
      <w:r>
        <w:rPr>
          <w:rFonts w:ascii="宋体" w:hAnsi="Times New Roman" w:cs="Times New Roman"/>
          <w:kern w:val="0"/>
          <w:szCs w:val="20"/>
        </w:rPr>
        <w:t>DZ/T 0415—2022 珠宝玉石饰品制造工艺术语</w:t>
      </w:r>
    </w:p>
    <w:p w14:paraId="1767B05E">
      <w:pPr>
        <w:widowControl/>
        <w:numPr>
          <w:ilvl w:val="0"/>
          <w:numId w:val="1"/>
        </w:numPr>
        <w:tabs>
          <w:tab w:val="left" w:pos="993"/>
          <w:tab w:val="clear" w:pos="1646"/>
        </w:tabs>
        <w:autoSpaceDE w:val="0"/>
        <w:autoSpaceDN w:val="0"/>
        <w:ind w:left="1134" w:leftChars="200" w:hanging="714" w:hangingChars="340"/>
        <w:jc w:val="left"/>
        <w:rPr>
          <w:rFonts w:ascii="宋体" w:hAnsi="Times New Roman" w:cs="Times New Roman"/>
          <w:kern w:val="0"/>
          <w:szCs w:val="20"/>
        </w:rPr>
      </w:pPr>
      <w:r>
        <w:rPr>
          <w:rFonts w:ascii="宋体" w:hAnsi="Times New Roman" w:cs="Times New Roman"/>
          <w:kern w:val="0"/>
          <w:szCs w:val="20"/>
        </w:rPr>
        <w:t>DZ/T 0416—2022 海水珍珠与淡水珍珠的鉴别 X射线荧光光谱法</w:t>
      </w:r>
    </w:p>
    <w:p w14:paraId="7FE5BFEA">
      <w:pPr>
        <w:widowControl/>
        <w:numPr>
          <w:ilvl w:val="0"/>
          <w:numId w:val="1"/>
        </w:numPr>
        <w:tabs>
          <w:tab w:val="left" w:pos="993"/>
          <w:tab w:val="clear" w:pos="1646"/>
        </w:tabs>
        <w:autoSpaceDE w:val="0"/>
        <w:autoSpaceDN w:val="0"/>
        <w:ind w:left="1134" w:leftChars="200" w:hanging="714" w:hangingChars="340"/>
        <w:jc w:val="left"/>
        <w:rPr>
          <w:rFonts w:ascii="宋体" w:hAnsi="Times New Roman" w:cs="Times New Roman"/>
          <w:kern w:val="0"/>
          <w:szCs w:val="20"/>
        </w:rPr>
      </w:pPr>
      <w:r>
        <w:rPr>
          <w:rFonts w:ascii="宋体" w:hAnsi="Times New Roman" w:cs="Times New Roman"/>
          <w:kern w:val="0"/>
          <w:szCs w:val="20"/>
        </w:rPr>
        <w:t>DZ/T 0417—2022 珠宝玉石饰品售后服务规范</w:t>
      </w:r>
    </w:p>
    <w:p w14:paraId="2C0075EF">
      <w:pPr>
        <w:widowControl/>
        <w:numPr>
          <w:ilvl w:val="0"/>
          <w:numId w:val="1"/>
        </w:numPr>
        <w:tabs>
          <w:tab w:val="left" w:pos="993"/>
          <w:tab w:val="clear" w:pos="1646"/>
        </w:tabs>
        <w:autoSpaceDE w:val="0"/>
        <w:autoSpaceDN w:val="0"/>
        <w:ind w:left="1134" w:leftChars="200" w:hanging="714" w:hangingChars="340"/>
        <w:jc w:val="left"/>
        <w:rPr>
          <w:rFonts w:ascii="宋体" w:hAnsi="Times New Roman" w:cs="Times New Roman"/>
          <w:kern w:val="0"/>
          <w:szCs w:val="20"/>
        </w:rPr>
      </w:pPr>
      <w:r>
        <w:rPr>
          <w:rFonts w:ascii="宋体" w:hAnsi="Times New Roman" w:cs="Times New Roman"/>
          <w:kern w:val="0"/>
          <w:szCs w:val="20"/>
        </w:rPr>
        <w:t>DZ/T 0418—2022 钻石 花式切工技术规范</w:t>
      </w:r>
    </w:p>
    <w:p w14:paraId="28B92A51">
      <w:pPr>
        <w:widowControl/>
        <w:numPr>
          <w:ilvl w:val="0"/>
          <w:numId w:val="1"/>
        </w:numPr>
        <w:tabs>
          <w:tab w:val="left" w:pos="993"/>
          <w:tab w:val="clear" w:pos="1646"/>
        </w:tabs>
        <w:autoSpaceDE w:val="0"/>
        <w:autoSpaceDN w:val="0"/>
        <w:ind w:left="1134" w:leftChars="200" w:hanging="714" w:hangingChars="340"/>
        <w:jc w:val="left"/>
        <w:rPr>
          <w:rFonts w:ascii="宋体" w:hAnsi="Times New Roman" w:cs="Times New Roman"/>
          <w:kern w:val="0"/>
          <w:szCs w:val="20"/>
        </w:rPr>
      </w:pPr>
      <w:r>
        <w:rPr>
          <w:rFonts w:ascii="宋体" w:hAnsi="Times New Roman" w:cs="Times New Roman"/>
          <w:kern w:val="0"/>
          <w:szCs w:val="20"/>
        </w:rPr>
        <w:t>ISO 20671-1:2021  Brand evaluation — Part 1: Principles and fundamentals</w:t>
      </w:r>
    </w:p>
    <w:p w14:paraId="62992CC1">
      <w:pPr>
        <w:widowControl/>
        <w:numPr>
          <w:ilvl w:val="0"/>
          <w:numId w:val="1"/>
        </w:numPr>
        <w:tabs>
          <w:tab w:val="left" w:pos="993"/>
          <w:tab w:val="clear" w:pos="1646"/>
        </w:tabs>
        <w:autoSpaceDE w:val="0"/>
        <w:autoSpaceDN w:val="0"/>
        <w:ind w:left="991" w:leftChars="200" w:hanging="571" w:hangingChars="272"/>
        <w:jc w:val="left"/>
        <w:rPr>
          <w:rFonts w:ascii="宋体" w:hAnsi="Times New Roman" w:cs="Times New Roman"/>
          <w:kern w:val="0"/>
          <w:szCs w:val="20"/>
        </w:rPr>
      </w:pPr>
      <w:r>
        <w:rPr>
          <w:rFonts w:ascii="宋体" w:hAnsi="Times New Roman" w:cs="Times New Roman"/>
          <w:kern w:val="0"/>
          <w:szCs w:val="20"/>
        </w:rPr>
        <w:t>ISO/IEC 20243-1:2023 Information technology — Open Trusted Technology</w:t>
      </w:r>
      <w:r>
        <w:rPr>
          <w:rFonts w:hint="eastAsia" w:ascii="宋体" w:hAnsi="Times New Roman" w:cs="Times New Roman"/>
          <w:kern w:val="0"/>
          <w:szCs w:val="20"/>
        </w:rPr>
        <w:t xml:space="preserve"> </w:t>
      </w:r>
      <w:r>
        <w:rPr>
          <w:rFonts w:ascii="宋体" w:hAnsi="Times New Roman" w:cs="Times New Roman"/>
          <w:kern w:val="0"/>
          <w:szCs w:val="20"/>
        </w:rPr>
        <w:t>ProviderTM Standard (O-TTPS) — Part 1: Requirements and recommendations for mitigating maliciously tainted and counterfeit products</w:t>
      </w:r>
    </w:p>
    <w:p w14:paraId="2956E552">
      <w:pPr>
        <w:widowControl/>
        <w:numPr>
          <w:ilvl w:val="0"/>
          <w:numId w:val="1"/>
        </w:numPr>
        <w:tabs>
          <w:tab w:val="left" w:pos="993"/>
          <w:tab w:val="clear" w:pos="1646"/>
        </w:tabs>
        <w:autoSpaceDE w:val="0"/>
        <w:autoSpaceDN w:val="0"/>
        <w:ind w:left="1134" w:leftChars="200" w:hanging="714" w:hangingChars="340"/>
        <w:jc w:val="left"/>
        <w:rPr>
          <w:rFonts w:ascii="宋体" w:hAnsi="Times New Roman" w:cs="Times New Roman"/>
          <w:kern w:val="0"/>
          <w:szCs w:val="20"/>
        </w:rPr>
      </w:pPr>
      <w:r>
        <w:rPr>
          <w:rFonts w:ascii="宋体" w:hAnsi="Times New Roman" w:cs="Times New Roman"/>
          <w:kern w:val="0"/>
          <w:szCs w:val="20"/>
        </w:rPr>
        <w:t>ISO 21041:2018 Guidance on unit pricing</w:t>
      </w:r>
    </w:p>
    <w:p w14:paraId="230335D9">
      <w:pPr>
        <w:widowControl/>
        <w:numPr>
          <w:ilvl w:val="0"/>
          <w:numId w:val="1"/>
        </w:numPr>
        <w:tabs>
          <w:tab w:val="left" w:pos="993"/>
          <w:tab w:val="clear" w:pos="1646"/>
        </w:tabs>
        <w:autoSpaceDE w:val="0"/>
        <w:autoSpaceDN w:val="0"/>
        <w:ind w:left="1134" w:leftChars="200" w:hanging="714" w:hangingChars="340"/>
        <w:jc w:val="left"/>
        <w:rPr>
          <w:rFonts w:ascii="宋体" w:hAnsi="Times New Roman" w:cs="Times New Roman"/>
          <w:kern w:val="0"/>
          <w:szCs w:val="20"/>
        </w:rPr>
      </w:pPr>
      <w:r>
        <w:rPr>
          <w:rFonts w:ascii="宋体" w:hAnsi="Times New Roman" w:cs="Times New Roman"/>
          <w:kern w:val="0"/>
          <w:szCs w:val="20"/>
        </w:rPr>
        <w:t>ISO 22059:2020 Guidelines on consumer warranties/guarantees</w:t>
      </w:r>
    </w:p>
    <w:bookmarkEnd w:id="116"/>
    <w:p w14:paraId="4D358512">
      <w:pPr>
        <w:widowControl/>
        <w:jc w:val="left"/>
        <w:rPr>
          <w:rFonts w:ascii="宋体" w:hAnsi="Times New Roman" w:cs="Times New Roman"/>
          <w:color w:val="000000"/>
          <w:kern w:val="0"/>
          <w:szCs w:val="21"/>
        </w:rPr>
      </w:pPr>
    </w:p>
    <w:p w14:paraId="193EE912">
      <w:pPr>
        <w:framePr w:w="2552" w:h="284" w:hRule="exact" w:wrap="notBeside" w:vAnchor="text" w:hAnchor="text" w:xAlign="center" w:y="1"/>
        <w:widowControl/>
        <w:jc w:val="center"/>
        <w:rPr>
          <w:rFonts w:ascii="黑体" w:hAnsi="Times New Roman" w:eastAsia="黑体" w:cs="Times New Roman"/>
          <w:color w:val="000000"/>
          <w:kern w:val="0"/>
          <w:lang w:eastAsia="en-US"/>
        </w:rPr>
      </w:pPr>
      <w:sdt>
        <w:sdtPr>
          <w:rPr>
            <w:rFonts w:ascii="黑体" w:hAnsi="Times New Roman" w:eastAsia="黑体" w:cs="Times New Roman"/>
            <w:b/>
            <w:bCs/>
            <w:color w:val="000000"/>
            <w:kern w:val="0"/>
            <w:lang w:eastAsia="en-US"/>
          </w:rPr>
          <w:alias w:val="终结线"/>
          <w:tag w:val="终结线"/>
          <w:id w:val="-605819273"/>
          <w:lock w:val="contentLocked"/>
          <w:placeholder>
            <w:docPart w:val="33D2B16646BF9E45B67107AA30E9A556"/>
          </w:placeholder>
          <w:text/>
        </w:sdtPr>
        <w:sdtEndPr>
          <w:rPr>
            <w:rFonts w:ascii="黑体" w:hAnsi="Times New Roman" w:eastAsia="黑体" w:cs="Times New Roman"/>
            <w:b/>
            <w:bCs/>
            <w:color w:val="000000"/>
            <w:kern w:val="0"/>
            <w:lang w:eastAsia="en-US"/>
          </w:rPr>
        </w:sdtEndPr>
        <w:sdtContent>
          <w:r>
            <w:rPr>
              <w:rFonts w:ascii="黑体" w:hAnsi="Times New Roman" w:eastAsia="黑体" w:cs="Times New Roman"/>
              <w:b/>
              <w:bCs/>
              <w:color w:val="000000"/>
              <w:kern w:val="0"/>
              <w:lang w:eastAsia="en-US"/>
            </w:rPr>
            <w:t>______________________</w:t>
          </w:r>
        </w:sdtContent>
      </w:sdt>
    </w:p>
    <w:p w14:paraId="54E881FA">
      <w:pPr>
        <w:widowControl/>
        <w:autoSpaceDE w:val="0"/>
        <w:autoSpaceDN w:val="0"/>
        <w:jc w:val="left"/>
        <w:rPr>
          <w:rFonts w:ascii="宋体" w:hAnsi="Times New Roman" w:cs="Times New Roman"/>
          <w:kern w:val="0"/>
          <w:szCs w:val="20"/>
        </w:rPr>
      </w:pPr>
    </w:p>
    <w:p w14:paraId="20BEE31F">
      <w:pPr>
        <w:widowControl/>
        <w:spacing w:after="360" w:afterLines="150"/>
        <w:jc w:val="center"/>
      </w:pPr>
    </w:p>
    <w:sectPr>
      <w:pgSz w:w="11906" w:h="16838"/>
      <w:pgMar w:top="2410" w:right="1134" w:bottom="1134" w:left="1134" w:header="1418" w:footer="1134" w:gutter="284"/>
      <w:cols w:space="425" w:num="1"/>
      <w:formProt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STZhongsong">
    <w:altName w:val="Segoe Print"/>
    <w:panose1 w:val="00000000000000000000"/>
    <w:charset w:val="00"/>
    <w:family w:val="auto"/>
    <w:pitch w:val="default"/>
    <w:sig w:usb0="00000000" w:usb1="00000000" w:usb2="00000000" w:usb3="00000000" w:csb0="00000000" w:csb1="00000000"/>
  </w:font>
  <w:font w:name="Segoe UI">
    <w:panose1 w:val="020B0502040204020203"/>
    <w:charset w:val="00"/>
    <w:family w:val="swiss"/>
    <w:pitch w:val="default"/>
    <w:sig w:usb0="E10022FF" w:usb1="C000E47F" w:usb2="00000029" w:usb3="00000000" w:csb0="200001DF" w:csb1="20000000"/>
  </w:font>
  <w:font w:name="Wingdings 2">
    <w:altName w:val="Wingdings"/>
    <w:panose1 w:val="05020102010507070707"/>
    <w:charset w:val="02"/>
    <w:family w:val="roman"/>
    <w:pitch w:val="default"/>
    <w:sig w:usb0="00000000" w:usb1="00000000" w:usb2="00000000" w:usb3="00000000" w:csb0="80000000" w:csb1="00000000"/>
  </w:font>
  <w:font w:name="PingFang-SC-Regular">
    <w:altName w:val="微软雅黑"/>
    <w:panose1 w:val="00000000000000000000"/>
    <w:charset w:val="86"/>
    <w:family w:val="swiss"/>
    <w:pitch w:val="default"/>
    <w:sig w:usb0="00000000" w:usb1="00000000" w:usb2="00000017" w:usb3="00000000" w:csb0="00040001" w:csb1="00000000"/>
  </w:font>
  <w:font w:name="微软雅黑">
    <w:panose1 w:val="020B0503020204020204"/>
    <w:charset w:val="86"/>
    <w:family w:val="auto"/>
    <w:pitch w:val="default"/>
    <w:sig w:usb0="80000287" w:usb1="280F3C52" w:usb2="00000016" w:usb3="00000000" w:csb0="0004001F" w:csb1="00000000"/>
  </w:font>
  <w:font w:name="FZSSK--GBK1-0">
    <w:altName w:val="Cambria"/>
    <w:panose1 w:val="00000000000000000000"/>
    <w:charset w:val="00"/>
    <w:family w:val="roman"/>
    <w:pitch w:val="default"/>
    <w:sig w:usb0="00000000" w:usb1="00000000" w:usb2="00000000" w:usb3="00000000" w:csb0="00000000" w:csb1="00000000"/>
  </w:font>
  <w:font w:name="E">
    <w:altName w:val="Segoe Print"/>
    <w:panose1 w:val="00000000000000000000"/>
    <w:charset w:val="00"/>
    <w:family w:val="roman"/>
    <w:pitch w:val="default"/>
    <w:sig w:usb0="00000000" w:usb1="00000000" w:usb2="00000000" w:usb3="00000000" w:csb0="00000000" w:csb1="00000000"/>
  </w:font>
  <w:font w:name="Helvetica Neue">
    <w:altName w:val="Times New Roman"/>
    <w:panose1 w:val="00000000000000000000"/>
    <w:charset w:val="00"/>
    <w:family w:val="auto"/>
    <w:pitch w:val="default"/>
    <w:sig w:usb0="00000000" w:usb1="00000000" w:usb2="00000010" w:usb3="00000000" w:csb0="00000001" w:csb1="00000000"/>
  </w:font>
  <w:font w:name="Wingdings">
    <w:panose1 w:val="05000000000000000000"/>
    <w:charset w:val="00"/>
    <w:family w:val="auto"/>
    <w:pitch w:val="default"/>
    <w:sig w:usb0="00000000" w:usb1="00000000" w:usb2="00000000" w:usb3="00000000" w:csb0="80000000"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B9C094">
    <w:pPr>
      <w:pStyle w:val="18"/>
    </w:pPr>
    <w:r>
      <w:fldChar w:fldCharType="begin"/>
    </w:r>
    <w:r>
      <w:instrText xml:space="preserve">PAGE   \* MERGEFORMAT</w:instrText>
    </w:r>
    <w:r>
      <w:fldChar w:fldCharType="separate"/>
    </w:r>
    <w:r>
      <w:rPr>
        <w:lang w:val="zh-CN"/>
      </w:rPr>
      <w:t>6</w:t>
    </w:r>
    <w:r>
      <w:fldChar w:fldCharType="end"/>
    </w:r>
  </w:p>
  <w:p w14:paraId="0A1DD82B">
    <w:pPr>
      <w:pStyle w:val="18"/>
      <w:ind w:firstLine="9090" w:firstLineChars="505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021E68">
    <w:pPr>
      <w:pStyle w:val="18"/>
      <w:jc w:val="right"/>
    </w:pPr>
    <w:r>
      <w:fldChar w:fldCharType="begin"/>
    </w:r>
    <w:r>
      <w:instrText xml:space="preserve">PAGE   \* MERGEFORMAT</w:instrText>
    </w:r>
    <w:r>
      <w:fldChar w:fldCharType="separate"/>
    </w:r>
    <w:r>
      <w:rPr>
        <w:lang w:val="zh-CN"/>
      </w:rPr>
      <w:t>1</w:t>
    </w:r>
    <w:r>
      <w:fldChar w:fldCharType="end"/>
    </w:r>
  </w:p>
  <w:p w14:paraId="6E557670">
    <w:pPr>
      <w:pStyle w:val="1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D5586E">
    <w:pPr>
      <w:pStyle w:val="55"/>
    </w:pPr>
    <w:r>
      <w:fldChar w:fldCharType="begin"/>
    </w:r>
    <w:r>
      <w:instrText xml:space="preserve">PAGE   \* MERGEFORMAT</w:instrText>
    </w:r>
    <w:r>
      <w:fldChar w:fldCharType="separate"/>
    </w:r>
    <w:r>
      <w:rPr>
        <w:lang w:val="zh-CN"/>
      </w:rPr>
      <w:t>9</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426DE8">
    <w:pPr>
      <w:jc w:val="left"/>
      <w:textAlignment w:val="center"/>
      <w:rPr>
        <w:rFonts w:ascii="黑体" w:hAnsi="Times New Roman" w:eastAsia="黑体" w:cs="Times New Roman"/>
        <w:color w:val="000000"/>
        <w:kern w:val="0"/>
        <w:szCs w:val="21"/>
      </w:rPr>
    </w:pPr>
    <w:r>
      <w:rPr>
        <w:rFonts w:ascii="Times New Roman" w:hAnsi="Times New Roman" w:eastAsia="黑体" w:cs="Times New Roman"/>
        <w:color w:val="000000"/>
        <w:kern w:val="0"/>
        <w:szCs w:val="21"/>
      </w:rPr>
      <w:t>ICS</w:t>
    </w:r>
    <w:r>
      <w:rPr>
        <w:rFonts w:ascii="黑体" w:hAnsi="黑体" w:eastAsia="黑体" w:cs="Times New Roman"/>
        <w:color w:val="000000"/>
        <w:kern w:val="0"/>
        <w:szCs w:val="21"/>
      </w:rPr>
      <w:t> </w:t>
    </w:r>
    <w:r>
      <w:rPr>
        <w:rFonts w:hint="eastAsia" w:ascii="黑体" w:hAnsi="Times New Roman" w:eastAsia="黑体" w:cs="Times New Roman"/>
        <w:color w:val="000000"/>
        <w:kern w:val="0"/>
        <w:szCs w:val="21"/>
      </w:rPr>
      <w:t>6</w:t>
    </w:r>
    <w:r>
      <w:rPr>
        <w:rFonts w:ascii="黑体" w:hAnsi="Times New Roman" w:eastAsia="黑体" w:cs="Times New Roman"/>
        <w:color w:val="000000"/>
        <w:kern w:val="0"/>
        <w:szCs w:val="21"/>
      </w:rPr>
      <w:t>7</w:t>
    </w:r>
    <w:r>
      <w:rPr>
        <w:rFonts w:hint="eastAsia" w:ascii="黑体" w:hAnsi="Times New Roman" w:eastAsia="黑体" w:cs="Times New Roman"/>
        <w:color w:val="000000"/>
        <w:kern w:val="0"/>
        <w:szCs w:val="21"/>
      </w:rPr>
      <w:t>.0</w:t>
    </w:r>
    <w:r>
      <w:rPr>
        <w:rFonts w:ascii="黑体" w:hAnsi="Times New Roman" w:eastAsia="黑体" w:cs="Times New Roman"/>
        <w:color w:val="000000"/>
        <w:kern w:val="0"/>
        <w:szCs w:val="21"/>
      </w:rPr>
      <w:t>8</w:t>
    </w:r>
    <w:r>
      <w:rPr>
        <w:rFonts w:hint="eastAsia" w:ascii="黑体" w:hAnsi="Times New Roman" w:eastAsia="黑体" w:cs="Times New Roman"/>
        <w:color w:val="000000"/>
        <w:kern w:val="0"/>
        <w:szCs w:val="21"/>
      </w:rPr>
      <w:t>0</w:t>
    </w:r>
    <w:r>
      <w:rPr>
        <w:rFonts w:ascii="黑体" w:eastAsia="黑体"/>
        <w:szCs w:val="21"/>
      </w:rPr>
      <w:t>T/FDSA 001</w:t>
    </w:r>
    <w:r>
      <w:rPr>
        <w:rFonts w:hint="eastAsia" w:ascii="黑体" w:eastAsia="黑体"/>
        <w:szCs w:val="21"/>
      </w:rPr>
      <w:t>-20</w:t>
    </w:r>
    <w:r>
      <w:rPr>
        <w:rFonts w:ascii="黑体" w:eastAsia="黑体"/>
        <w:szCs w:val="21"/>
      </w:rPr>
      <w:t>20</w:t>
    </w:r>
  </w:p>
  <w:p w14:paraId="157F25BD">
    <w:pPr>
      <w:jc w:val="left"/>
      <w:textAlignment w:val="center"/>
      <w:rPr>
        <w:rFonts w:ascii="黑体" w:hAnsi="Times New Roman" w:eastAsia="黑体" w:cs="Times New Roman"/>
        <w:color w:val="000000"/>
        <w:kern w:val="0"/>
        <w:szCs w:val="21"/>
      </w:rPr>
    </w:pPr>
    <w:r>
      <w:rPr>
        <w:rFonts w:hint="eastAsia" w:ascii="黑体" w:hAnsi="Times New Roman" w:eastAsia="黑体" w:cs="Times New Roman"/>
        <w:color w:val="000000"/>
        <w:kern w:val="0"/>
        <w:szCs w:val="21"/>
      </w:rPr>
      <w:t xml:space="preserve">X </w:t>
    </w:r>
    <w:r>
      <w:rPr>
        <w:rFonts w:ascii="黑体" w:hAnsi="Times New Roman" w:eastAsia="黑体" w:cs="Times New Roman"/>
        <w:color w:val="000000"/>
        <w:kern w:val="0"/>
        <w:szCs w:val="21"/>
      </w:rPr>
      <w:t xml:space="preserve">26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FBECC3">
    <w:pPr>
      <w:pStyle w:val="64"/>
    </w:pPr>
    <w:r>
      <w:t>T/CIQA 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02AA20">
    <w:pPr>
      <w:pStyle w:val="19"/>
      <w:jc w:val="right"/>
    </w:pPr>
    <w:r>
      <w:fldChar w:fldCharType="begin"/>
    </w:r>
    <w:r>
      <w:instrText xml:space="preserve"> STYLEREF  标准文件_文件编号  \* MERGEFORMAT </w:instrText>
    </w:r>
    <w:r>
      <w:fldChar w:fldCharType="separate"/>
    </w:r>
    <w:r>
      <w:rPr>
        <w:b/>
      </w:rPr>
      <w:t>错误！文档中没有指定样式的文字。</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7"/>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358656B"/>
    <w:multiLevelType w:val="multilevel"/>
    <w:tmpl w:val="0358656B"/>
    <w:lvl w:ilvl="0" w:tentative="0">
      <w:start w:val="1"/>
      <w:numFmt w:val="decimal"/>
      <w:lvlText w:val="%1"/>
      <w:lvlJc w:val="left"/>
      <w:pPr>
        <w:ind w:left="440" w:hanging="440"/>
      </w:pPr>
      <w:rPr>
        <w:rFonts w:hint="eastAsia"/>
      </w:rPr>
    </w:lvl>
    <w:lvl w:ilvl="1" w:tentative="0">
      <w:start w:val="11"/>
      <w:numFmt w:val="decimal"/>
      <w:isLgl/>
      <w:lvlText w:val="%1.%2"/>
      <w:lvlJc w:val="left"/>
      <w:pPr>
        <w:ind w:left="640" w:hanging="640"/>
      </w:pPr>
      <w:rPr>
        <w:rFonts w:hint="default"/>
      </w:rPr>
    </w:lvl>
    <w:lvl w:ilvl="2" w:tentative="0">
      <w:start w:val="1"/>
      <w:numFmt w:val="decimal"/>
      <w:isLgl/>
      <w:lvlText w:val="%1.%2.%3"/>
      <w:lvlJc w:val="left"/>
      <w:pPr>
        <w:ind w:left="720" w:hanging="720"/>
      </w:pPr>
      <w:rPr>
        <w:rFonts w:hint="default"/>
      </w:rPr>
    </w:lvl>
    <w:lvl w:ilvl="3" w:tentative="0">
      <w:start w:val="1"/>
      <w:numFmt w:val="decimal"/>
      <w:isLgl/>
      <w:lvlText w:val="%1.%2.%3.%4"/>
      <w:lvlJc w:val="left"/>
      <w:pPr>
        <w:ind w:left="1080" w:hanging="1080"/>
      </w:pPr>
      <w:rPr>
        <w:rFonts w:hint="default"/>
      </w:rPr>
    </w:lvl>
    <w:lvl w:ilvl="4" w:tentative="0">
      <w:start w:val="1"/>
      <w:numFmt w:val="decimal"/>
      <w:isLgl/>
      <w:lvlText w:val="%1.%2.%3.%4.%5"/>
      <w:lvlJc w:val="left"/>
      <w:pPr>
        <w:ind w:left="1080" w:hanging="1080"/>
      </w:pPr>
      <w:rPr>
        <w:rFonts w:hint="default"/>
      </w:rPr>
    </w:lvl>
    <w:lvl w:ilvl="5" w:tentative="0">
      <w:start w:val="1"/>
      <w:numFmt w:val="decimal"/>
      <w:isLgl/>
      <w:lvlText w:val="%1.%2.%3.%4.%5.%6"/>
      <w:lvlJc w:val="left"/>
      <w:pPr>
        <w:ind w:left="1440" w:hanging="1440"/>
      </w:pPr>
      <w:rPr>
        <w:rFonts w:hint="default"/>
      </w:rPr>
    </w:lvl>
    <w:lvl w:ilvl="6" w:tentative="0">
      <w:start w:val="1"/>
      <w:numFmt w:val="decimal"/>
      <w:isLgl/>
      <w:lvlText w:val="%1.%2.%3.%4.%5.%6.%7"/>
      <w:lvlJc w:val="left"/>
      <w:pPr>
        <w:ind w:left="1440" w:hanging="1440"/>
      </w:pPr>
      <w:rPr>
        <w:rFonts w:hint="default"/>
      </w:rPr>
    </w:lvl>
    <w:lvl w:ilvl="7" w:tentative="0">
      <w:start w:val="1"/>
      <w:numFmt w:val="decimal"/>
      <w:isLgl/>
      <w:lvlText w:val="%1.%2.%3.%4.%5.%6.%7.%8"/>
      <w:lvlJc w:val="left"/>
      <w:pPr>
        <w:ind w:left="1800" w:hanging="1800"/>
      </w:pPr>
      <w:rPr>
        <w:rFonts w:hint="default"/>
      </w:rPr>
    </w:lvl>
    <w:lvl w:ilvl="8" w:tentative="0">
      <w:start w:val="1"/>
      <w:numFmt w:val="decimal"/>
      <w:isLgl/>
      <w:lvlText w:val="%1.%2.%3.%4.%5.%6.%7.%8.%9"/>
      <w:lvlJc w:val="left"/>
      <w:pPr>
        <w:ind w:left="1800" w:hanging="1800"/>
      </w:pPr>
      <w:rPr>
        <w:rFonts w:hint="default"/>
      </w:rPr>
    </w:lvl>
  </w:abstractNum>
  <w:abstractNum w:abstractNumId="2">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2"/>
      <w:suff w:val="nothing"/>
      <w:lvlText w:val="%1%2.%3　"/>
      <w:lvlJc w:val="left"/>
      <w:pPr>
        <w:ind w:left="0" w:firstLine="0"/>
      </w:pPr>
    </w:lvl>
    <w:lvl w:ilvl="3" w:tentative="0">
      <w:start w:val="1"/>
      <w:numFmt w:val="decimal"/>
      <w:pStyle w:val="121"/>
      <w:suff w:val="nothing"/>
      <w:lvlText w:val="%1%2.%3.%4　"/>
      <w:lvlJc w:val="left"/>
      <w:pPr>
        <w:ind w:left="0" w:firstLine="0"/>
      </w:pPr>
    </w:lvl>
    <w:lvl w:ilvl="4" w:tentative="0">
      <w:start w:val="1"/>
      <w:numFmt w:val="decimal"/>
      <w:pStyle w:val="156"/>
      <w:suff w:val="nothing"/>
      <w:lvlText w:val="%1%2.%3.%4.%5　"/>
      <w:lvlJc w:val="left"/>
      <w:pPr>
        <w:ind w:left="0" w:firstLine="0"/>
      </w:pPr>
    </w:lvl>
    <w:lvl w:ilvl="5" w:tentative="0">
      <w:start w:val="1"/>
      <w:numFmt w:val="decimal"/>
      <w:pStyle w:val="158"/>
      <w:suff w:val="nothing"/>
      <w:lvlText w:val="%1%2.%3.%4.%5.%6　"/>
      <w:lvlJc w:val="left"/>
      <w:pPr>
        <w:ind w:left="0" w:firstLine="0"/>
      </w:pPr>
    </w:lvl>
    <w:lvl w:ilvl="6" w:tentative="0">
      <w:start w:val="1"/>
      <w:numFmt w:val="decimal"/>
      <w:pStyle w:val="161"/>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3">
    <w:nsid w:val="06412E49"/>
    <w:multiLevelType w:val="multilevel"/>
    <w:tmpl w:val="06412E49"/>
    <w:lvl w:ilvl="0" w:tentative="0">
      <w:start w:val="1"/>
      <w:numFmt w:val="lowerLetter"/>
      <w:pStyle w:val="254"/>
      <w:lvlText w:val="%1"/>
      <w:lvlJc w:val="left"/>
      <w:pPr>
        <w:ind w:left="482" w:hanging="119"/>
      </w:pPr>
      <w:rPr>
        <w:rFonts w:hint="eastAsia" w:ascii="宋体" w:eastAsia="宋体"/>
        <w:b w:val="0"/>
        <w:i w:val="0"/>
        <w:color w:val="auto"/>
        <w:sz w:val="18"/>
        <w:vertAlign w:val="superscript"/>
      </w:rPr>
    </w:lvl>
    <w:lvl w:ilvl="1" w:tentative="0">
      <w:start w:val="1"/>
      <w:numFmt w:val="decimal"/>
      <w:lvlText w:val="%1.%2"/>
      <w:lvlJc w:val="left"/>
      <w:pPr>
        <w:ind w:left="992" w:hanging="567"/>
      </w:pPr>
      <w:rPr>
        <w:rFonts w:hint="eastAsia"/>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79102AD"/>
    <w:multiLevelType w:val="multilevel"/>
    <w:tmpl w:val="079102AD"/>
    <w:lvl w:ilvl="0" w:tentative="0">
      <w:start w:val="1"/>
      <w:numFmt w:val="decimal"/>
      <w:pStyle w:val="183"/>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5">
    <w:nsid w:val="0AE367E9"/>
    <w:multiLevelType w:val="multilevel"/>
    <w:tmpl w:val="0AE367E9"/>
    <w:lvl w:ilvl="0" w:tentative="0">
      <w:start w:val="1"/>
      <w:numFmt w:val="none"/>
      <w:pStyle w:val="184"/>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6">
    <w:nsid w:val="0BDC1670"/>
    <w:multiLevelType w:val="multilevel"/>
    <w:tmpl w:val="0BDC1670"/>
    <w:lvl w:ilvl="0" w:tentative="0">
      <w:start w:val="1"/>
      <w:numFmt w:val="decimal"/>
      <w:pStyle w:val="24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
    <w:nsid w:val="0D051F45"/>
    <w:multiLevelType w:val="multilevel"/>
    <w:tmpl w:val="0D051F45"/>
    <w:lvl w:ilvl="0" w:tentative="0">
      <w:start w:val="1"/>
      <w:numFmt w:val="lowerRoman"/>
      <w:pStyle w:val="172"/>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8">
    <w:nsid w:val="133E57EF"/>
    <w:multiLevelType w:val="multilevel"/>
    <w:tmpl w:val="133E57EF"/>
    <w:lvl w:ilvl="0" w:tentative="0">
      <w:start w:val="1"/>
      <w:numFmt w:val="decimal"/>
      <w:lvlText w:val="3.%1"/>
      <w:lvlJc w:val="left"/>
      <w:pPr>
        <w:ind w:left="440" w:hanging="440"/>
      </w:pPr>
      <w:rPr>
        <w:rFonts w:hint="eastAsia"/>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9">
    <w:nsid w:val="1AD20F90"/>
    <w:multiLevelType w:val="multilevel"/>
    <w:tmpl w:val="1AD20F90"/>
    <w:lvl w:ilvl="0" w:tentative="0">
      <w:start w:val="1"/>
      <w:numFmt w:val="none"/>
      <w:pStyle w:val="113"/>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0">
    <w:nsid w:val="1AF15012"/>
    <w:multiLevelType w:val="multilevel"/>
    <w:tmpl w:val="1AF15012"/>
    <w:lvl w:ilvl="0" w:tentative="0">
      <w:start w:val="1"/>
      <w:numFmt w:val="upperLetter"/>
      <w:pStyle w:val="88"/>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11">
    <w:nsid w:val="1EAA1992"/>
    <w:multiLevelType w:val="multilevel"/>
    <w:tmpl w:val="1EAA1992"/>
    <w:lvl w:ilvl="0" w:tentative="0">
      <w:start w:val="1"/>
      <w:numFmt w:val="none"/>
      <w:pStyle w:val="95"/>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2">
    <w:nsid w:val="270230C5"/>
    <w:multiLevelType w:val="multilevel"/>
    <w:tmpl w:val="270230C5"/>
    <w:lvl w:ilvl="0" w:tentative="0">
      <w:start w:val="1"/>
      <w:numFmt w:val="decimal"/>
      <w:lvlText w:val="8.%1"/>
      <w:lvlJc w:val="left"/>
      <w:pPr>
        <w:ind w:left="440" w:hanging="440"/>
      </w:pPr>
      <w:rPr>
        <w:rFonts w:hint="eastAsia"/>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13">
    <w:nsid w:val="2C5917C3"/>
    <w:multiLevelType w:val="multilevel"/>
    <w:tmpl w:val="2C5917C3"/>
    <w:lvl w:ilvl="0" w:tentative="0">
      <w:start w:val="1"/>
      <w:numFmt w:val="none"/>
      <w:pStyle w:val="135"/>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90"/>
      <w:lvlText w:val=""/>
      <w:lvlJc w:val="left"/>
      <w:pPr>
        <w:ind w:left="851" w:hanging="431"/>
      </w:pPr>
      <w:rPr>
        <w:rFonts w:hint="default" w:ascii="Symbol" w:hAnsi="Symbol"/>
        <w:sz w:val="21"/>
      </w:rPr>
    </w:lvl>
    <w:lvl w:ilvl="2" w:tentative="0">
      <w:start w:val="1"/>
      <w:numFmt w:val="bullet"/>
      <w:pStyle w:val="175"/>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4">
    <w:nsid w:val="32F04FB2"/>
    <w:multiLevelType w:val="multilevel"/>
    <w:tmpl w:val="32F04FB2"/>
    <w:lvl w:ilvl="0" w:tentative="0">
      <w:start w:val="1"/>
      <w:numFmt w:val="lowerLetter"/>
      <w:pStyle w:val="104"/>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5">
    <w:nsid w:val="37B02989"/>
    <w:multiLevelType w:val="multilevel"/>
    <w:tmpl w:val="37B02989"/>
    <w:lvl w:ilvl="0" w:tentative="0">
      <w:start w:val="1"/>
      <w:numFmt w:val="none"/>
      <w:pStyle w:val="252"/>
      <w:suff w:val="nothing"/>
      <w:lvlText w:val="注："/>
      <w:lvlJc w:val="left"/>
      <w:pPr>
        <w:ind w:left="726" w:hanging="363"/>
      </w:pPr>
      <w:rPr>
        <w:rFonts w:hint="eastAsia" w:eastAsia="黑体"/>
        <w:sz w:val="18"/>
      </w:rPr>
    </w:lvl>
    <w:lvl w:ilvl="1" w:tentative="0">
      <w:start w:val="1"/>
      <w:numFmt w:val="decimal"/>
      <w:lvlText w:val="%1.%2"/>
      <w:lvlJc w:val="left"/>
      <w:pPr>
        <w:ind w:left="992" w:hanging="567"/>
      </w:pPr>
      <w:rPr>
        <w:rFonts w:hint="eastAsia"/>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6">
    <w:nsid w:val="44C50F90"/>
    <w:multiLevelType w:val="multilevel"/>
    <w:tmpl w:val="44C50F90"/>
    <w:lvl w:ilvl="0" w:tentative="0">
      <w:start w:val="1"/>
      <w:numFmt w:val="lowerLetter"/>
      <w:pStyle w:val="177"/>
      <w:lvlText w:val="%1)"/>
      <w:lvlJc w:val="left"/>
      <w:pPr>
        <w:tabs>
          <w:tab w:val="left" w:pos="851"/>
        </w:tabs>
        <w:ind w:left="851" w:hanging="426"/>
      </w:pPr>
      <w:rPr>
        <w:rFonts w:hint="eastAsia" w:ascii="宋体" w:hAnsi="Times New Roman" w:eastAsia="宋体"/>
        <w:sz w:val="21"/>
      </w:rPr>
    </w:lvl>
    <w:lvl w:ilvl="1" w:tentative="0">
      <w:start w:val="1"/>
      <w:numFmt w:val="decimal"/>
      <w:pStyle w:val="112"/>
      <w:lvlText w:val="%2)"/>
      <w:lvlJc w:val="left"/>
      <w:pPr>
        <w:tabs>
          <w:tab w:val="left" w:pos="1276"/>
        </w:tabs>
        <w:ind w:left="1276" w:hanging="425"/>
      </w:pPr>
      <w:rPr>
        <w:rFonts w:hint="eastAsia" w:ascii="宋体" w:hAnsi="Times New Roman" w:eastAsia="宋体"/>
        <w:sz w:val="21"/>
      </w:rPr>
    </w:lvl>
    <w:lvl w:ilvl="2" w:tentative="0">
      <w:start w:val="1"/>
      <w:numFmt w:val="decimal"/>
      <w:pStyle w:val="120"/>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7">
    <w:nsid w:val="48802D1C"/>
    <w:multiLevelType w:val="multilevel"/>
    <w:tmpl w:val="48802D1C"/>
    <w:lvl w:ilvl="0" w:tentative="0">
      <w:start w:val="1"/>
      <w:numFmt w:val="upperLetter"/>
      <w:pStyle w:val="201"/>
      <w:lvlText w:val="%1"/>
      <w:lvlJc w:val="left"/>
      <w:pPr>
        <w:ind w:left="420" w:hanging="420"/>
      </w:pPr>
      <w:rPr>
        <w:rFonts w:hint="eastAsia"/>
      </w:rPr>
    </w:lvl>
    <w:lvl w:ilvl="1" w:tentative="0">
      <w:start w:val="1"/>
      <w:numFmt w:val="decimal"/>
      <w:pStyle w:val="86"/>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8">
    <w:nsid w:val="4B733A5F"/>
    <w:multiLevelType w:val="multilevel"/>
    <w:tmpl w:val="4B733A5F"/>
    <w:lvl w:ilvl="0" w:tentative="0">
      <w:start w:val="1"/>
      <w:numFmt w:val="decimal"/>
      <w:pStyle w:val="186"/>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9">
    <w:nsid w:val="4C1A5465"/>
    <w:multiLevelType w:val="multilevel"/>
    <w:tmpl w:val="4C1A5465"/>
    <w:lvl w:ilvl="0" w:tentative="0">
      <w:start w:val="1"/>
      <w:numFmt w:val="decimal"/>
      <w:pStyle w:val="246"/>
      <w:suff w:val="nothing"/>
      <w:lvlText w:val="[%1]  "/>
      <w:lvlJc w:val="left"/>
      <w:pPr>
        <w:ind w:left="624" w:hanging="624"/>
      </w:pPr>
      <w:rPr>
        <w:rFonts w:hint="eastAsia"/>
      </w:rPr>
    </w:lvl>
    <w:lvl w:ilvl="1" w:tentative="0">
      <w:start w:val="1"/>
      <w:numFmt w:val="decimal"/>
      <w:lvlText w:val="%1.%2"/>
      <w:lvlJc w:val="left"/>
      <w:pPr>
        <w:ind w:left="992" w:hanging="567"/>
      </w:pPr>
      <w:rPr>
        <w:rFonts w:hint="eastAsia"/>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0">
    <w:nsid w:val="4E5D0534"/>
    <w:multiLevelType w:val="multilevel"/>
    <w:tmpl w:val="4E5D0534"/>
    <w:lvl w:ilvl="0" w:tentative="0">
      <w:start w:val="1"/>
      <w:numFmt w:val="decimal"/>
      <w:pStyle w:val="119"/>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21">
    <w:nsid w:val="54632751"/>
    <w:multiLevelType w:val="multilevel"/>
    <w:tmpl w:val="54632751"/>
    <w:lvl w:ilvl="0" w:tentative="0">
      <w:start w:val="1"/>
      <w:numFmt w:val="none"/>
      <w:pStyle w:val="96"/>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22">
    <w:nsid w:val="557C2AF5"/>
    <w:multiLevelType w:val="multilevel"/>
    <w:tmpl w:val="557C2AF5"/>
    <w:lvl w:ilvl="0" w:tentative="0">
      <w:start w:val="1"/>
      <w:numFmt w:val="decimal"/>
      <w:pStyle w:val="117"/>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23">
    <w:nsid w:val="5603797C"/>
    <w:multiLevelType w:val="multilevel"/>
    <w:tmpl w:val="5603797C"/>
    <w:lvl w:ilvl="0" w:tentative="0">
      <w:start w:val="1"/>
      <w:numFmt w:val="upperLetter"/>
      <w:pStyle w:val="202"/>
      <w:suff w:val="space"/>
      <w:lvlText w:val="%1"/>
      <w:lvlJc w:val="left"/>
      <w:pPr>
        <w:ind w:left="425" w:hanging="425"/>
      </w:pPr>
      <w:rPr>
        <w:rFonts w:hint="eastAsia"/>
      </w:rPr>
    </w:lvl>
    <w:lvl w:ilvl="1" w:tentative="0">
      <w:start w:val="1"/>
      <w:numFmt w:val="decimal"/>
      <w:pStyle w:val="80"/>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4">
    <w:nsid w:val="564D2089"/>
    <w:multiLevelType w:val="multilevel"/>
    <w:tmpl w:val="564D2089"/>
    <w:lvl w:ilvl="0" w:tentative="0">
      <w:start w:val="1"/>
      <w:numFmt w:val="none"/>
      <w:pStyle w:val="114"/>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5">
    <w:nsid w:val="61D45A5B"/>
    <w:multiLevelType w:val="multilevel"/>
    <w:tmpl w:val="61D45A5B"/>
    <w:lvl w:ilvl="0" w:tentative="0">
      <w:start w:val="1"/>
      <w:numFmt w:val="decimal"/>
      <w:suff w:val="nothing"/>
      <w:lvlText w:val="%1  "/>
      <w:lvlJc w:val="left"/>
      <w:pPr>
        <w:ind w:left="425" w:hanging="425"/>
      </w:pPr>
      <w:rPr>
        <w:rFonts w:hint="eastAsia" w:ascii="黑体" w:eastAsia="黑体"/>
        <w:b w:val="0"/>
        <w:i w:val="0"/>
        <w:color w:val="auto"/>
        <w:sz w:val="21"/>
      </w:rPr>
    </w:lvl>
    <w:lvl w:ilvl="1" w:tentative="0">
      <w:start w:val="1"/>
      <w:numFmt w:val="decimal"/>
      <w:suff w:val="nothing"/>
      <w:lvlText w:val="%1.%2  "/>
      <w:lvlJc w:val="left"/>
      <w:pPr>
        <w:ind w:left="0" w:firstLine="0"/>
      </w:pPr>
      <w:rPr>
        <w:rFonts w:hint="eastAsia" w:ascii="黑体" w:eastAsia="黑体"/>
        <w:b w:val="0"/>
        <w:i w:val="0"/>
        <w:color w:val="auto"/>
        <w:sz w:val="21"/>
      </w:rPr>
    </w:lvl>
    <w:lvl w:ilvl="2" w:tentative="0">
      <w:start w:val="1"/>
      <w:numFmt w:val="decimal"/>
      <w:pStyle w:val="239"/>
      <w:suff w:val="nothing"/>
      <w:lvlText w:val="%1.%2.%3  "/>
      <w:lvlJc w:val="left"/>
      <w:pPr>
        <w:ind w:left="0" w:firstLine="0"/>
      </w:pPr>
      <w:rPr>
        <w:rFonts w:hint="eastAsia" w:ascii="黑体" w:eastAsia="黑体"/>
        <w:b w:val="0"/>
        <w:i w:val="0"/>
        <w:color w:val="auto"/>
        <w:sz w:val="21"/>
      </w:rPr>
    </w:lvl>
    <w:lvl w:ilvl="3" w:tentative="0">
      <w:start w:val="1"/>
      <w:numFmt w:val="decimal"/>
      <w:suff w:val="nothing"/>
      <w:lvlText w:val="%1.%2.%3.%4  "/>
      <w:lvlJc w:val="left"/>
      <w:pPr>
        <w:ind w:left="0" w:firstLine="0"/>
      </w:pPr>
      <w:rPr>
        <w:rFonts w:hint="eastAsia" w:ascii="黑体" w:eastAsia="黑体"/>
        <w:b w:val="0"/>
        <w:i w:val="0"/>
        <w:color w:val="auto"/>
        <w:sz w:val="21"/>
      </w:rPr>
    </w:lvl>
    <w:lvl w:ilvl="4" w:tentative="0">
      <w:start w:val="1"/>
      <w:numFmt w:val="decimal"/>
      <w:suff w:val="nothing"/>
      <w:lvlText w:val="%1.%2.%3.%4.%5  "/>
      <w:lvlJc w:val="left"/>
      <w:pPr>
        <w:ind w:left="0" w:firstLine="0"/>
      </w:pPr>
      <w:rPr>
        <w:rFonts w:hint="eastAsia" w:ascii="黑体" w:eastAsia="黑体"/>
        <w:b w:val="0"/>
        <w:i w:val="0"/>
        <w:color w:val="auto"/>
        <w:sz w:val="21"/>
      </w:rPr>
    </w:lvl>
    <w:lvl w:ilvl="5" w:tentative="0">
      <w:start w:val="1"/>
      <w:numFmt w:val="decimal"/>
      <w:suff w:val="nothing"/>
      <w:lvlText w:val="%1.%2.%3.%4.%5.%6  "/>
      <w:lvlJc w:val="left"/>
      <w:pPr>
        <w:ind w:left="0" w:firstLine="0"/>
      </w:pPr>
      <w:rPr>
        <w:rFonts w:hint="eastAsia" w:ascii="黑体" w:eastAsia="黑体"/>
        <w:b w:val="0"/>
        <w:i w:val="0"/>
        <w:color w:val="auto"/>
        <w:sz w:val="21"/>
      </w:rPr>
    </w:lvl>
    <w:lvl w:ilvl="6" w:tentative="0">
      <w:start w:val="1"/>
      <w:numFmt w:val="decimal"/>
      <w:suff w:val="nothing"/>
      <w:lvlText w:val="%1.%2.%3.%4.%5.%6.%7"/>
      <w:lvlJc w:val="left"/>
      <w:pPr>
        <w:ind w:left="0" w:firstLine="0"/>
      </w:pPr>
      <w:rPr>
        <w:rFonts w:hint="eastAsia" w:ascii="黑体" w:eastAsia="黑体"/>
        <w:b w:val="0"/>
        <w:i w:val="0"/>
        <w:color w:val="auto"/>
        <w:sz w:val="21"/>
      </w:rPr>
    </w:lvl>
    <w:lvl w:ilvl="7" w:tentative="0">
      <w:start w:val="1"/>
      <w:numFmt w:val="decimal"/>
      <w:suff w:val="nothing"/>
      <w:lvlText w:val="%1.%2.%3.%4.%5.%6.%7.%8"/>
      <w:lvlJc w:val="left"/>
      <w:pPr>
        <w:ind w:left="0" w:firstLine="0"/>
      </w:pPr>
      <w:rPr>
        <w:rFonts w:hint="eastAsia" w:ascii="黑体" w:eastAsia="黑体"/>
        <w:b w:val="0"/>
        <w:i w:val="0"/>
        <w:color w:val="auto"/>
        <w:sz w:val="21"/>
      </w:rPr>
    </w:lvl>
    <w:lvl w:ilvl="8" w:tentative="0">
      <w:start w:val="1"/>
      <w:numFmt w:val="decimal"/>
      <w:suff w:val="nothing"/>
      <w:lvlText w:val="%1.%2.%3.%4.%5.%6.%7.%8.%9"/>
      <w:lvlJc w:val="left"/>
      <w:pPr>
        <w:ind w:left="0" w:firstLine="0"/>
      </w:pPr>
      <w:rPr>
        <w:rFonts w:hint="eastAsia" w:ascii="黑体" w:eastAsia="黑体"/>
        <w:b w:val="0"/>
        <w:i w:val="0"/>
        <w:color w:val="auto"/>
        <w:sz w:val="21"/>
      </w:rPr>
    </w:lvl>
  </w:abstractNum>
  <w:abstractNum w:abstractNumId="26">
    <w:nsid w:val="644622F9"/>
    <w:multiLevelType w:val="multilevel"/>
    <w:tmpl w:val="644622F9"/>
    <w:lvl w:ilvl="0" w:tentative="0">
      <w:start w:val="1"/>
      <w:numFmt w:val="upperRoman"/>
      <w:pStyle w:val="171"/>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7">
    <w:nsid w:val="646260FA"/>
    <w:multiLevelType w:val="multilevel"/>
    <w:tmpl w:val="646260FA"/>
    <w:lvl w:ilvl="0" w:tentative="0">
      <w:start w:val="1"/>
      <w:numFmt w:val="decimal"/>
      <w:pStyle w:val="115"/>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8">
    <w:nsid w:val="654A26C9"/>
    <w:multiLevelType w:val="multilevel"/>
    <w:tmpl w:val="654A26C9"/>
    <w:lvl w:ilvl="0" w:tentative="0">
      <w:start w:val="1"/>
      <w:numFmt w:val="none"/>
      <w:pStyle w:val="192"/>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9">
    <w:nsid w:val="657D3FBC"/>
    <w:multiLevelType w:val="multilevel"/>
    <w:tmpl w:val="657D3FBC"/>
    <w:lvl w:ilvl="0" w:tentative="0">
      <w:start w:val="1"/>
      <w:numFmt w:val="upperLetter"/>
      <w:pStyle w:val="79"/>
      <w:suff w:val="nothing"/>
      <w:lvlText w:val="附录%1"/>
      <w:lvlJc w:val="left"/>
      <w:pPr>
        <w:ind w:left="0" w:firstLine="0"/>
      </w:pPr>
      <w:rPr>
        <w:rFonts w:hint="eastAsia"/>
        <w:spacing w:val="100"/>
      </w:rPr>
    </w:lvl>
    <w:lvl w:ilvl="1" w:tentative="0">
      <w:start w:val="1"/>
      <w:numFmt w:val="decimal"/>
      <w:pStyle w:val="81"/>
      <w:suff w:val="nothing"/>
      <w:lvlText w:val="%1.%2　"/>
      <w:lvlJc w:val="left"/>
      <w:pPr>
        <w:ind w:left="0" w:firstLine="0"/>
      </w:pPr>
      <w:rPr>
        <w:rFonts w:hint="eastAsia" w:ascii="黑体" w:eastAsia="黑体"/>
        <w:b w:val="0"/>
        <w:i w:val="0"/>
        <w:sz w:val="21"/>
      </w:rPr>
    </w:lvl>
    <w:lvl w:ilvl="2" w:tentative="0">
      <w:start w:val="1"/>
      <w:numFmt w:val="decimal"/>
      <w:pStyle w:val="82"/>
      <w:suff w:val="nothing"/>
      <w:lvlText w:val="%1.%2.%3　"/>
      <w:lvlJc w:val="left"/>
      <w:pPr>
        <w:ind w:left="0" w:firstLine="0"/>
      </w:pPr>
      <w:rPr>
        <w:rFonts w:hint="eastAsia" w:ascii="黑体" w:eastAsia="黑体"/>
        <w:b w:val="0"/>
        <w:i w:val="0"/>
        <w:sz w:val="21"/>
      </w:rPr>
    </w:lvl>
    <w:lvl w:ilvl="3" w:tentative="0">
      <w:start w:val="1"/>
      <w:numFmt w:val="decimal"/>
      <w:pStyle w:val="84"/>
      <w:suff w:val="nothing"/>
      <w:lvlText w:val="%1.%2.%3.%4　"/>
      <w:lvlJc w:val="left"/>
      <w:pPr>
        <w:ind w:left="0" w:firstLine="0"/>
      </w:pPr>
      <w:rPr>
        <w:rFonts w:hint="eastAsia" w:ascii="黑体" w:eastAsia="黑体"/>
        <w:b w:val="0"/>
        <w:i w:val="0"/>
        <w:sz w:val="21"/>
      </w:rPr>
    </w:lvl>
    <w:lvl w:ilvl="4" w:tentative="0">
      <w:start w:val="1"/>
      <w:numFmt w:val="decimal"/>
      <w:pStyle w:val="85"/>
      <w:suff w:val="nothing"/>
      <w:lvlText w:val="%1.%2.%3.%4.%5　"/>
      <w:lvlJc w:val="left"/>
      <w:pPr>
        <w:ind w:left="0" w:firstLine="0"/>
      </w:pPr>
      <w:rPr>
        <w:rFonts w:hint="eastAsia" w:ascii="黑体" w:eastAsia="黑体"/>
        <w:b w:val="0"/>
        <w:i w:val="0"/>
        <w:sz w:val="21"/>
      </w:rPr>
    </w:lvl>
    <w:lvl w:ilvl="5" w:tentative="0">
      <w:start w:val="1"/>
      <w:numFmt w:val="decimal"/>
      <w:pStyle w:val="87"/>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30">
    <w:nsid w:val="69506ABF"/>
    <w:multiLevelType w:val="multilevel"/>
    <w:tmpl w:val="69506ABF"/>
    <w:lvl w:ilvl="0" w:tentative="0">
      <w:start w:val="1"/>
      <w:numFmt w:val="bullet"/>
      <w:pStyle w:val="191"/>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31">
    <w:nsid w:val="6C234AAC"/>
    <w:multiLevelType w:val="multilevel"/>
    <w:tmpl w:val="6C234AAC"/>
    <w:lvl w:ilvl="0" w:tentative="0">
      <w:start w:val="1"/>
      <w:numFmt w:val="decimal"/>
      <w:pStyle w:val="248"/>
      <w:suff w:val="nothing"/>
      <w:lvlText w:val="示例 %1："/>
      <w:lvlJc w:val="left"/>
      <w:pPr>
        <w:ind w:left="488" w:firstLine="363"/>
      </w:pPr>
      <w:rPr>
        <w:rFonts w:hint="eastAsia" w:eastAsia="黑体"/>
        <w:color w:val="auto"/>
        <w:sz w:val="18"/>
      </w:rPr>
    </w:lvl>
    <w:lvl w:ilvl="1" w:tentative="0">
      <w:start w:val="1"/>
      <w:numFmt w:val="decimal"/>
      <w:lvlText w:val="%1.%2"/>
      <w:lvlJc w:val="left"/>
      <w:pPr>
        <w:ind w:left="992" w:hanging="567"/>
      </w:pPr>
      <w:rPr>
        <w:rFonts w:hint="eastAsia"/>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32">
    <w:nsid w:val="6CA41985"/>
    <w:multiLevelType w:val="multilevel"/>
    <w:tmpl w:val="6CA41985"/>
    <w:lvl w:ilvl="0" w:tentative="0">
      <w:start w:val="1"/>
      <w:numFmt w:val="decimal"/>
      <w:pStyle w:val="100"/>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3">
    <w:nsid w:val="6CE42AC1"/>
    <w:multiLevelType w:val="multilevel"/>
    <w:tmpl w:val="6CE42AC1"/>
    <w:lvl w:ilvl="0" w:tentative="0">
      <w:start w:val="1"/>
      <w:numFmt w:val="lowerLetter"/>
      <w:pStyle w:val="176"/>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4">
    <w:nsid w:val="6DBF04F4"/>
    <w:multiLevelType w:val="multilevel"/>
    <w:tmpl w:val="6DBF04F4"/>
    <w:lvl w:ilvl="0" w:tentative="0">
      <w:start w:val="1"/>
      <w:numFmt w:val="none"/>
      <w:pStyle w:val="182"/>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5">
    <w:nsid w:val="6DF35F19"/>
    <w:multiLevelType w:val="multilevel"/>
    <w:tmpl w:val="6DF35F19"/>
    <w:lvl w:ilvl="0" w:tentative="0">
      <w:start w:val="1"/>
      <w:numFmt w:val="decimal"/>
      <w:pStyle w:val="118"/>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6">
    <w:nsid w:val="76933334"/>
    <w:multiLevelType w:val="multilevel"/>
    <w:tmpl w:val="76933334"/>
    <w:lvl w:ilvl="0" w:tentative="0">
      <w:start w:val="1"/>
      <w:numFmt w:val="none"/>
      <w:pStyle w:val="142"/>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9"/>
  </w:num>
  <w:num w:numId="3">
    <w:abstractNumId w:val="23"/>
  </w:num>
  <w:num w:numId="4">
    <w:abstractNumId w:val="17"/>
  </w:num>
  <w:num w:numId="5">
    <w:abstractNumId w:val="10"/>
  </w:num>
  <w:num w:numId="6">
    <w:abstractNumId w:val="11"/>
  </w:num>
  <w:num w:numId="7">
    <w:abstractNumId w:val="21"/>
  </w:num>
  <w:num w:numId="8">
    <w:abstractNumId w:val="32"/>
  </w:num>
  <w:num w:numId="9">
    <w:abstractNumId w:val="14"/>
  </w:num>
  <w:num w:numId="10">
    <w:abstractNumId w:val="16"/>
  </w:num>
  <w:num w:numId="11">
    <w:abstractNumId w:val="9"/>
  </w:num>
  <w:num w:numId="12">
    <w:abstractNumId w:val="24"/>
  </w:num>
  <w:num w:numId="13">
    <w:abstractNumId w:val="27"/>
  </w:num>
  <w:num w:numId="14">
    <w:abstractNumId w:val="22"/>
  </w:num>
  <w:num w:numId="15">
    <w:abstractNumId w:val="35"/>
  </w:num>
  <w:num w:numId="16">
    <w:abstractNumId w:val="20"/>
  </w:num>
  <w:num w:numId="17">
    <w:abstractNumId w:val="2"/>
  </w:num>
  <w:num w:numId="18">
    <w:abstractNumId w:val="13"/>
  </w:num>
  <w:num w:numId="19">
    <w:abstractNumId w:val="36"/>
  </w:num>
  <w:num w:numId="20">
    <w:abstractNumId w:val="26"/>
  </w:num>
  <w:num w:numId="21">
    <w:abstractNumId w:val="7"/>
  </w:num>
  <w:num w:numId="22">
    <w:abstractNumId w:val="33"/>
  </w:num>
  <w:num w:numId="23">
    <w:abstractNumId w:val="34"/>
  </w:num>
  <w:num w:numId="24">
    <w:abstractNumId w:val="4"/>
  </w:num>
  <w:num w:numId="25">
    <w:abstractNumId w:val="5"/>
  </w:num>
  <w:num w:numId="26">
    <w:abstractNumId w:val="18"/>
  </w:num>
  <w:num w:numId="27">
    <w:abstractNumId w:val="30"/>
  </w:num>
  <w:num w:numId="28">
    <w:abstractNumId w:val="28"/>
  </w:num>
  <w:num w:numId="29">
    <w:abstractNumId w:val="25"/>
  </w:num>
  <w:num w:numId="30">
    <w:abstractNumId w:val="19"/>
  </w:num>
  <w:num w:numId="31">
    <w:abstractNumId w:val="6"/>
  </w:num>
  <w:num w:numId="32">
    <w:abstractNumId w:val="31"/>
  </w:num>
  <w:num w:numId="33">
    <w:abstractNumId w:val="15"/>
  </w:num>
  <w:num w:numId="34">
    <w:abstractNumId w:val="3"/>
  </w:num>
  <w:num w:numId="35">
    <w:abstractNumId w:val="1"/>
  </w:num>
  <w:num w:numId="36">
    <w:abstractNumId w:val="8"/>
  </w:num>
  <w:num w:numId="3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M3ZDVkZDAzMDE4NjU0MWEzNTE4MWI5NTExOThkYjkifQ=="/>
  </w:docVars>
  <w:rsids>
    <w:rsidRoot w:val="00095762"/>
    <w:rsid w:val="00001468"/>
    <w:rsid w:val="00031F90"/>
    <w:rsid w:val="0005711C"/>
    <w:rsid w:val="00072F43"/>
    <w:rsid w:val="00093704"/>
    <w:rsid w:val="00095762"/>
    <w:rsid w:val="000C2680"/>
    <w:rsid w:val="000C6E6F"/>
    <w:rsid w:val="000E6916"/>
    <w:rsid w:val="00103177"/>
    <w:rsid w:val="00143DD2"/>
    <w:rsid w:val="00145460"/>
    <w:rsid w:val="00155A2A"/>
    <w:rsid w:val="00156FA6"/>
    <w:rsid w:val="001C1214"/>
    <w:rsid w:val="001C6718"/>
    <w:rsid w:val="001D7D8B"/>
    <w:rsid w:val="0020234C"/>
    <w:rsid w:val="00221853"/>
    <w:rsid w:val="00243A79"/>
    <w:rsid w:val="00261B5D"/>
    <w:rsid w:val="0026256E"/>
    <w:rsid w:val="00275B0A"/>
    <w:rsid w:val="0027722D"/>
    <w:rsid w:val="0029143C"/>
    <w:rsid w:val="00297149"/>
    <w:rsid w:val="00307F18"/>
    <w:rsid w:val="00354B7F"/>
    <w:rsid w:val="003A4F2F"/>
    <w:rsid w:val="003C4AB9"/>
    <w:rsid w:val="003E5147"/>
    <w:rsid w:val="003F18B7"/>
    <w:rsid w:val="00415503"/>
    <w:rsid w:val="00445ADC"/>
    <w:rsid w:val="00477712"/>
    <w:rsid w:val="004A4D6B"/>
    <w:rsid w:val="004E0A65"/>
    <w:rsid w:val="0051430A"/>
    <w:rsid w:val="0059047A"/>
    <w:rsid w:val="00594B01"/>
    <w:rsid w:val="00595CDC"/>
    <w:rsid w:val="005F12FA"/>
    <w:rsid w:val="00632CEF"/>
    <w:rsid w:val="00692507"/>
    <w:rsid w:val="006977EA"/>
    <w:rsid w:val="006B04DE"/>
    <w:rsid w:val="00717CC1"/>
    <w:rsid w:val="00792E11"/>
    <w:rsid w:val="007A6537"/>
    <w:rsid w:val="007F4A27"/>
    <w:rsid w:val="00805E93"/>
    <w:rsid w:val="00810452"/>
    <w:rsid w:val="00852A47"/>
    <w:rsid w:val="0087138D"/>
    <w:rsid w:val="008F34C0"/>
    <w:rsid w:val="00904D15"/>
    <w:rsid w:val="009115EE"/>
    <w:rsid w:val="00912073"/>
    <w:rsid w:val="009201C0"/>
    <w:rsid w:val="00930FD1"/>
    <w:rsid w:val="00931C66"/>
    <w:rsid w:val="009B04E4"/>
    <w:rsid w:val="009B794E"/>
    <w:rsid w:val="009F0CDF"/>
    <w:rsid w:val="00A16DD0"/>
    <w:rsid w:val="00A24822"/>
    <w:rsid w:val="00A426B6"/>
    <w:rsid w:val="00A57B41"/>
    <w:rsid w:val="00A71888"/>
    <w:rsid w:val="00A71B2C"/>
    <w:rsid w:val="00A77F33"/>
    <w:rsid w:val="00AE0E43"/>
    <w:rsid w:val="00AE1E1B"/>
    <w:rsid w:val="00AF4779"/>
    <w:rsid w:val="00B13606"/>
    <w:rsid w:val="00B87834"/>
    <w:rsid w:val="00BC7570"/>
    <w:rsid w:val="00BD3E78"/>
    <w:rsid w:val="00CD64AB"/>
    <w:rsid w:val="00CD712B"/>
    <w:rsid w:val="00CF5DAD"/>
    <w:rsid w:val="00CF7ECA"/>
    <w:rsid w:val="00D00D78"/>
    <w:rsid w:val="00D44FE7"/>
    <w:rsid w:val="00D611E2"/>
    <w:rsid w:val="00D95BBE"/>
    <w:rsid w:val="00DA1AC2"/>
    <w:rsid w:val="00E04060"/>
    <w:rsid w:val="00E06C3C"/>
    <w:rsid w:val="00E12D7A"/>
    <w:rsid w:val="00E64235"/>
    <w:rsid w:val="00E67C0C"/>
    <w:rsid w:val="00EB1B7B"/>
    <w:rsid w:val="00F46555"/>
    <w:rsid w:val="00FE1F19"/>
    <w:rsid w:val="00FF24DE"/>
    <w:rsid w:val="02325913"/>
    <w:rsid w:val="07EF581E"/>
    <w:rsid w:val="22F06568"/>
    <w:rsid w:val="295C6FC4"/>
    <w:rsid w:val="319C49F3"/>
    <w:rsid w:val="64EB4FEC"/>
    <w:rsid w:val="70FE4C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 w:semiHidden="0" w:name="heading 3"/>
    <w:lsdException w:qFormat="1" w:unhideWhenUsed="0" w:uiPriority="9"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uiPriority="39" w:semiHidden="0" w:name="toc 3"/>
    <w:lsdException w:uiPriority="39" w:semiHidden="0" w:name="toc 4"/>
    <w:lsdException w:uiPriority="39" w:semiHidden="0" w:name="toc 5"/>
    <w:lsdException w:uiPriority="39" w:semiHidden="0" w:name="toc 6"/>
    <w:lsdException w:uiPriority="39" w:semiHidden="0" w:name="toc 7"/>
    <w:lsdException w:uiPriority="39" w:name="toc 8"/>
    <w:lsdException w:uiPriority="39" w:name="toc 9"/>
    <w:lsdException w:unhideWhenUsed="0" w:uiPriority="0" w:semiHidden="0" w:name="Normal Indent"/>
    <w:lsdException w:unhideWhenUsed="0" w:uiPriority="0" w:name="footnote text"/>
    <w:lsdException w:uiPriority="99" w:name="annotation text"/>
    <w:lsdException w:unhideWhenUsed="0" w:uiPriority="99" w:semiHidden="0" w:name="header"/>
    <w:lsdException w:qFormat="1" w:unhideWhenUsed="0" w:uiPriority="99" w:semiHidden="0" w:name="footer"/>
    <w:lsdException w:uiPriority="99" w:name="index heading"/>
    <w:lsdException w:qFormat="1" w:uiPriority="35" w:name="caption"/>
    <w:lsdException w:unhideWhenUsed="0" w:uiPriority="0" w:name="table of figures"/>
    <w:lsdException w:uiPriority="99" w:name="envelope address"/>
    <w:lsdException w:uiPriority="99" w:name="envelope return"/>
    <w:lsdException w:unhideWhenUsed="0" w:uiPriority="0"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link w:val="38"/>
    <w:qFormat/>
    <w:uiPriority w:val="0"/>
    <w:pPr>
      <w:keepNext/>
      <w:keepLines/>
      <w:widowControl/>
      <w:spacing w:before="340" w:after="330" w:line="578" w:lineRule="auto"/>
      <w:jc w:val="left"/>
      <w:outlineLvl w:val="0"/>
    </w:pPr>
    <w:rPr>
      <w:rFonts w:ascii="宋体" w:hAnsi="宋体" w:cs="宋体"/>
      <w:b/>
      <w:bCs/>
      <w:kern w:val="44"/>
      <w:sz w:val="44"/>
      <w:szCs w:val="44"/>
    </w:rPr>
  </w:style>
  <w:style w:type="paragraph" w:styleId="3">
    <w:name w:val="heading 2"/>
    <w:basedOn w:val="1"/>
    <w:next w:val="1"/>
    <w:link w:val="39"/>
    <w:qFormat/>
    <w:uiPriority w:val="0"/>
    <w:pPr>
      <w:keepNext/>
      <w:keepLines/>
      <w:widowControl/>
      <w:spacing w:before="260" w:after="260" w:line="416" w:lineRule="auto"/>
      <w:jc w:val="left"/>
      <w:outlineLvl w:val="1"/>
    </w:pPr>
    <w:rPr>
      <w:rFonts w:ascii="Arial" w:hAnsi="Arial" w:eastAsia="黑体" w:cs="宋体"/>
      <w:b/>
      <w:bCs/>
      <w:kern w:val="0"/>
      <w:sz w:val="32"/>
      <w:szCs w:val="32"/>
    </w:rPr>
  </w:style>
  <w:style w:type="paragraph" w:styleId="4">
    <w:name w:val="heading 3"/>
    <w:basedOn w:val="1"/>
    <w:next w:val="1"/>
    <w:link w:val="40"/>
    <w:qFormat/>
    <w:uiPriority w:val="9"/>
    <w:pPr>
      <w:keepNext/>
      <w:keepLines/>
      <w:widowControl/>
      <w:spacing w:before="260" w:after="260" w:line="416" w:lineRule="auto"/>
      <w:jc w:val="left"/>
      <w:outlineLvl w:val="2"/>
    </w:pPr>
    <w:rPr>
      <w:rFonts w:ascii="宋体" w:hAnsi="宋体" w:cs="宋体"/>
      <w:b/>
      <w:bCs/>
      <w:kern w:val="0"/>
      <w:sz w:val="32"/>
      <w:szCs w:val="32"/>
    </w:rPr>
  </w:style>
  <w:style w:type="paragraph" w:styleId="5">
    <w:name w:val="heading 4"/>
    <w:basedOn w:val="1"/>
    <w:next w:val="1"/>
    <w:link w:val="41"/>
    <w:qFormat/>
    <w:uiPriority w:val="9"/>
    <w:pPr>
      <w:keepNext/>
      <w:keepLines/>
      <w:widowControl/>
      <w:spacing w:before="280" w:after="290" w:line="376" w:lineRule="auto"/>
      <w:jc w:val="left"/>
      <w:outlineLvl w:val="3"/>
    </w:pPr>
    <w:rPr>
      <w:rFonts w:ascii="Arial" w:hAnsi="Arial" w:eastAsia="黑体" w:cs="宋体"/>
      <w:b/>
      <w:bCs/>
      <w:kern w:val="0"/>
      <w:sz w:val="28"/>
      <w:szCs w:val="28"/>
    </w:rPr>
  </w:style>
  <w:style w:type="paragraph" w:styleId="6">
    <w:name w:val="heading 5"/>
    <w:basedOn w:val="1"/>
    <w:next w:val="1"/>
    <w:link w:val="42"/>
    <w:qFormat/>
    <w:uiPriority w:val="0"/>
    <w:pPr>
      <w:keepNext/>
      <w:keepLines/>
      <w:widowControl/>
      <w:spacing w:before="280" w:after="290" w:line="376" w:lineRule="auto"/>
      <w:jc w:val="left"/>
      <w:outlineLvl w:val="4"/>
    </w:pPr>
    <w:rPr>
      <w:rFonts w:ascii="宋体" w:hAnsi="宋体" w:cs="宋体"/>
      <w:b/>
      <w:bCs/>
      <w:kern w:val="0"/>
      <w:sz w:val="28"/>
      <w:szCs w:val="28"/>
    </w:rPr>
  </w:style>
  <w:style w:type="paragraph" w:styleId="7">
    <w:name w:val="heading 6"/>
    <w:basedOn w:val="1"/>
    <w:next w:val="1"/>
    <w:link w:val="43"/>
    <w:qFormat/>
    <w:uiPriority w:val="0"/>
    <w:pPr>
      <w:keepNext/>
      <w:keepLines/>
      <w:widowControl/>
      <w:spacing w:before="240" w:after="64" w:line="320" w:lineRule="auto"/>
      <w:jc w:val="left"/>
      <w:outlineLvl w:val="5"/>
    </w:pPr>
    <w:rPr>
      <w:rFonts w:ascii="Arial" w:hAnsi="Arial" w:eastAsia="黑体" w:cs="宋体"/>
      <w:b/>
      <w:bCs/>
      <w:kern w:val="0"/>
      <w:sz w:val="24"/>
      <w:szCs w:val="24"/>
    </w:rPr>
  </w:style>
  <w:style w:type="paragraph" w:styleId="8">
    <w:name w:val="heading 7"/>
    <w:basedOn w:val="1"/>
    <w:next w:val="1"/>
    <w:link w:val="44"/>
    <w:qFormat/>
    <w:uiPriority w:val="0"/>
    <w:pPr>
      <w:keepNext/>
      <w:keepLines/>
      <w:widowControl/>
      <w:spacing w:before="240" w:after="64" w:line="320" w:lineRule="auto"/>
      <w:jc w:val="left"/>
      <w:outlineLvl w:val="6"/>
    </w:pPr>
    <w:rPr>
      <w:rFonts w:ascii="宋体" w:hAnsi="宋体" w:cs="宋体"/>
      <w:b/>
      <w:bCs/>
      <w:kern w:val="0"/>
      <w:sz w:val="24"/>
      <w:szCs w:val="24"/>
    </w:rPr>
  </w:style>
  <w:style w:type="paragraph" w:styleId="9">
    <w:name w:val="heading 8"/>
    <w:basedOn w:val="1"/>
    <w:next w:val="1"/>
    <w:link w:val="45"/>
    <w:qFormat/>
    <w:uiPriority w:val="0"/>
    <w:pPr>
      <w:keepNext/>
      <w:keepLines/>
      <w:widowControl/>
      <w:spacing w:before="240" w:after="64" w:line="320" w:lineRule="auto"/>
      <w:jc w:val="left"/>
      <w:outlineLvl w:val="7"/>
    </w:pPr>
    <w:rPr>
      <w:rFonts w:ascii="Arial" w:hAnsi="Arial" w:eastAsia="黑体" w:cs="宋体"/>
      <w:kern w:val="0"/>
      <w:sz w:val="24"/>
      <w:szCs w:val="24"/>
    </w:rPr>
  </w:style>
  <w:style w:type="paragraph" w:styleId="10">
    <w:name w:val="heading 9"/>
    <w:basedOn w:val="1"/>
    <w:next w:val="1"/>
    <w:link w:val="46"/>
    <w:qFormat/>
    <w:uiPriority w:val="0"/>
    <w:pPr>
      <w:keepNext/>
      <w:keepLines/>
      <w:widowControl/>
      <w:spacing w:before="240" w:after="64" w:line="320" w:lineRule="auto"/>
      <w:jc w:val="left"/>
      <w:outlineLvl w:val="8"/>
    </w:pPr>
    <w:rPr>
      <w:rFonts w:ascii="Arial" w:hAnsi="Arial" w:eastAsia="黑体" w:cs="宋体"/>
      <w:kern w:val="0"/>
      <w:sz w:val="24"/>
      <w:szCs w:val="24"/>
    </w:rPr>
  </w:style>
  <w:style w:type="character" w:default="1" w:styleId="30">
    <w:name w:val="Default Paragraph Font"/>
    <w:semiHidden/>
    <w:unhideWhenUsed/>
    <w:qFormat/>
    <w:uiPriority w:val="1"/>
  </w:style>
  <w:style w:type="table" w:default="1" w:styleId="28">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autoRedefine/>
    <w:unhideWhenUsed/>
    <w:uiPriority w:val="39"/>
    <w:pPr>
      <w:widowControl/>
      <w:tabs>
        <w:tab w:val="right" w:leader="dot" w:pos="9344"/>
      </w:tabs>
      <w:spacing w:line="300" w:lineRule="exact"/>
      <w:ind w:left="1259"/>
      <w:jc w:val="left"/>
    </w:pPr>
    <w:rPr>
      <w:rFonts w:ascii="宋体" w:hAnsi="宋体" w:cs="宋体"/>
      <w:kern w:val="0"/>
      <w:sz w:val="24"/>
      <w:szCs w:val="24"/>
    </w:rPr>
  </w:style>
  <w:style w:type="paragraph" w:styleId="12">
    <w:name w:val="Normal Indent"/>
    <w:basedOn w:val="1"/>
    <w:uiPriority w:val="0"/>
    <w:pPr>
      <w:widowControl/>
      <w:ind w:firstLine="420"/>
      <w:jc w:val="left"/>
    </w:pPr>
    <w:rPr>
      <w:rFonts w:ascii="宋体" w:hAnsi="宋体" w:cs="宋体"/>
      <w:kern w:val="0"/>
      <w:sz w:val="24"/>
      <w:szCs w:val="24"/>
    </w:rPr>
  </w:style>
  <w:style w:type="paragraph" w:styleId="13">
    <w:name w:val="annotation text"/>
    <w:basedOn w:val="1"/>
    <w:link w:val="234"/>
    <w:semiHidden/>
    <w:unhideWhenUsed/>
    <w:uiPriority w:val="99"/>
    <w:pPr>
      <w:widowControl/>
      <w:jc w:val="left"/>
    </w:pPr>
    <w:rPr>
      <w:rFonts w:ascii="宋体" w:hAnsi="宋体" w:cs="宋体"/>
      <w:kern w:val="0"/>
      <w:sz w:val="24"/>
      <w:szCs w:val="24"/>
    </w:rPr>
  </w:style>
  <w:style w:type="paragraph" w:styleId="14">
    <w:name w:val="Body Text"/>
    <w:basedOn w:val="1"/>
    <w:link w:val="89"/>
    <w:uiPriority w:val="0"/>
    <w:pPr>
      <w:widowControl/>
      <w:spacing w:after="120"/>
      <w:jc w:val="left"/>
    </w:pPr>
    <w:rPr>
      <w:rFonts w:ascii="宋体" w:hAnsi="宋体" w:cs="宋体"/>
      <w:kern w:val="0"/>
      <w:sz w:val="24"/>
      <w:szCs w:val="24"/>
    </w:rPr>
  </w:style>
  <w:style w:type="paragraph" w:styleId="15">
    <w:name w:val="toc 5"/>
    <w:basedOn w:val="1"/>
    <w:next w:val="1"/>
    <w:autoRedefine/>
    <w:unhideWhenUsed/>
    <w:uiPriority w:val="39"/>
    <w:pPr>
      <w:widowControl/>
      <w:ind w:left="839"/>
      <w:jc w:val="left"/>
    </w:pPr>
    <w:rPr>
      <w:rFonts w:ascii="宋体" w:hAnsi="宋体" w:cs="宋体"/>
      <w:kern w:val="0"/>
      <w:sz w:val="24"/>
      <w:szCs w:val="24"/>
    </w:rPr>
  </w:style>
  <w:style w:type="paragraph" w:styleId="16">
    <w:name w:val="toc 3"/>
    <w:basedOn w:val="1"/>
    <w:next w:val="1"/>
    <w:autoRedefine/>
    <w:unhideWhenUsed/>
    <w:uiPriority w:val="39"/>
    <w:pPr>
      <w:widowControl/>
      <w:spacing w:line="300" w:lineRule="exact"/>
      <w:ind w:left="420"/>
      <w:jc w:val="left"/>
    </w:pPr>
    <w:rPr>
      <w:rFonts w:ascii="宋体" w:hAnsi="宋体" w:cs="宋体"/>
      <w:kern w:val="0"/>
      <w:sz w:val="24"/>
      <w:szCs w:val="24"/>
    </w:rPr>
  </w:style>
  <w:style w:type="paragraph" w:styleId="17">
    <w:name w:val="Balloon Text"/>
    <w:basedOn w:val="1"/>
    <w:link w:val="48"/>
    <w:semiHidden/>
    <w:unhideWhenUsed/>
    <w:uiPriority w:val="99"/>
    <w:pPr>
      <w:widowControl/>
      <w:jc w:val="left"/>
    </w:pPr>
    <w:rPr>
      <w:rFonts w:ascii="宋体" w:hAnsi="宋体" w:cs="宋体"/>
      <w:kern w:val="0"/>
      <w:sz w:val="18"/>
      <w:szCs w:val="18"/>
    </w:rPr>
  </w:style>
  <w:style w:type="paragraph" w:styleId="18">
    <w:name w:val="footer"/>
    <w:basedOn w:val="1"/>
    <w:link w:val="37"/>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19">
    <w:name w:val="header"/>
    <w:basedOn w:val="1"/>
    <w:link w:val="47"/>
    <w:uiPriority w:val="99"/>
    <w:pPr>
      <w:widowControl/>
      <w:tabs>
        <w:tab w:val="center" w:pos="4153"/>
        <w:tab w:val="right" w:pos="8306"/>
      </w:tabs>
      <w:snapToGrid w:val="0"/>
      <w:jc w:val="center"/>
    </w:pPr>
    <w:rPr>
      <w:rFonts w:ascii="宋体" w:hAnsi="宋体" w:cs="宋体"/>
      <w:kern w:val="0"/>
      <w:sz w:val="18"/>
      <w:szCs w:val="18"/>
    </w:rPr>
  </w:style>
  <w:style w:type="paragraph" w:styleId="20">
    <w:name w:val="toc 1"/>
    <w:basedOn w:val="1"/>
    <w:next w:val="1"/>
    <w:autoRedefine/>
    <w:unhideWhenUsed/>
    <w:uiPriority w:val="39"/>
    <w:pPr>
      <w:widowControl/>
      <w:jc w:val="left"/>
    </w:pPr>
    <w:rPr>
      <w:rFonts w:ascii="宋体" w:hAnsi="宋体" w:cs="宋体"/>
      <w:kern w:val="0"/>
      <w:sz w:val="24"/>
      <w:szCs w:val="24"/>
    </w:rPr>
  </w:style>
  <w:style w:type="paragraph" w:styleId="21">
    <w:name w:val="toc 4"/>
    <w:basedOn w:val="1"/>
    <w:next w:val="1"/>
    <w:autoRedefine/>
    <w:unhideWhenUsed/>
    <w:uiPriority w:val="39"/>
    <w:pPr>
      <w:widowControl/>
      <w:tabs>
        <w:tab w:val="right" w:leader="dot" w:pos="9344"/>
      </w:tabs>
      <w:spacing w:line="300" w:lineRule="exact"/>
      <w:ind w:left="629"/>
      <w:jc w:val="left"/>
    </w:pPr>
    <w:rPr>
      <w:rFonts w:ascii="宋体" w:hAnsi="宋体" w:cs="宋体"/>
      <w:kern w:val="0"/>
      <w:sz w:val="24"/>
      <w:szCs w:val="24"/>
    </w:rPr>
  </w:style>
  <w:style w:type="paragraph" w:styleId="22">
    <w:name w:val="footnote text"/>
    <w:basedOn w:val="1"/>
    <w:next w:val="1"/>
    <w:link w:val="102"/>
    <w:semiHidden/>
    <w:uiPriority w:val="0"/>
    <w:pPr>
      <w:widowControl/>
      <w:snapToGrid w:val="0"/>
      <w:spacing w:line="300" w:lineRule="exact"/>
      <w:ind w:left="400" w:leftChars="200" w:hanging="200" w:hangingChars="200"/>
      <w:jc w:val="left"/>
    </w:pPr>
    <w:rPr>
      <w:rFonts w:ascii="宋体" w:hAnsi="宋体" w:cs="宋体"/>
      <w:kern w:val="0"/>
      <w:sz w:val="18"/>
      <w:szCs w:val="18"/>
    </w:rPr>
  </w:style>
  <w:style w:type="paragraph" w:styleId="23">
    <w:name w:val="toc 6"/>
    <w:basedOn w:val="1"/>
    <w:next w:val="1"/>
    <w:autoRedefine/>
    <w:unhideWhenUsed/>
    <w:uiPriority w:val="39"/>
    <w:pPr>
      <w:widowControl/>
      <w:spacing w:line="300" w:lineRule="exact"/>
      <w:ind w:left="1049"/>
      <w:jc w:val="left"/>
    </w:pPr>
    <w:rPr>
      <w:rFonts w:ascii="宋体" w:hAnsi="宋体" w:cs="宋体"/>
      <w:kern w:val="0"/>
      <w:sz w:val="24"/>
      <w:szCs w:val="24"/>
    </w:rPr>
  </w:style>
  <w:style w:type="paragraph" w:styleId="24">
    <w:name w:val="table of figures"/>
    <w:basedOn w:val="1"/>
    <w:next w:val="1"/>
    <w:semiHidden/>
    <w:uiPriority w:val="0"/>
    <w:pPr>
      <w:widowControl/>
      <w:jc w:val="left"/>
    </w:pPr>
    <w:rPr>
      <w:rFonts w:ascii="宋体" w:hAnsi="宋体" w:cs="宋体"/>
      <w:kern w:val="0"/>
      <w:sz w:val="24"/>
      <w:szCs w:val="24"/>
    </w:rPr>
  </w:style>
  <w:style w:type="paragraph" w:styleId="25">
    <w:name w:val="toc 2"/>
    <w:basedOn w:val="1"/>
    <w:next w:val="1"/>
    <w:autoRedefine/>
    <w:unhideWhenUsed/>
    <w:uiPriority w:val="39"/>
    <w:pPr>
      <w:widowControl/>
      <w:tabs>
        <w:tab w:val="right" w:leader="dot" w:pos="9344"/>
      </w:tabs>
      <w:spacing w:line="300" w:lineRule="exact"/>
      <w:ind w:left="210"/>
      <w:jc w:val="left"/>
    </w:pPr>
    <w:rPr>
      <w:rFonts w:ascii="宋体" w:hAnsi="宋体" w:cs="宋体"/>
      <w:kern w:val="0"/>
      <w:sz w:val="24"/>
      <w:szCs w:val="24"/>
    </w:rPr>
  </w:style>
  <w:style w:type="paragraph" w:styleId="26">
    <w:name w:val="Normal (Web)"/>
    <w:basedOn w:val="1"/>
    <w:semiHidden/>
    <w:unhideWhenUsed/>
    <w:uiPriority w:val="99"/>
    <w:pPr>
      <w:widowControl/>
      <w:spacing w:before="100" w:beforeAutospacing="1" w:after="100" w:afterAutospacing="1"/>
      <w:jc w:val="left"/>
    </w:pPr>
    <w:rPr>
      <w:rFonts w:ascii="宋体" w:hAnsi="宋体" w:cs="宋体"/>
      <w:kern w:val="0"/>
      <w:sz w:val="24"/>
      <w:szCs w:val="24"/>
    </w:rPr>
  </w:style>
  <w:style w:type="paragraph" w:styleId="27">
    <w:name w:val="Title"/>
    <w:basedOn w:val="1"/>
    <w:link w:val="51"/>
    <w:qFormat/>
    <w:uiPriority w:val="0"/>
    <w:pPr>
      <w:widowControl/>
      <w:spacing w:before="240" w:after="60"/>
      <w:jc w:val="center"/>
      <w:outlineLvl w:val="0"/>
    </w:pPr>
    <w:rPr>
      <w:rFonts w:ascii="Arial" w:hAnsi="Arial" w:cs="Arial"/>
      <w:b/>
      <w:bCs/>
      <w:kern w:val="0"/>
      <w:sz w:val="32"/>
      <w:szCs w:val="32"/>
    </w:rPr>
  </w:style>
  <w:style w:type="table" w:styleId="29">
    <w:name w:val="Table Grid"/>
    <w:basedOn w:val="28"/>
    <w:uiPriority w:val="59"/>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1">
    <w:name w:val="Strong"/>
    <w:qFormat/>
    <w:uiPriority w:val="22"/>
    <w:rPr>
      <w:b/>
      <w:bCs/>
    </w:rPr>
  </w:style>
  <w:style w:type="character" w:styleId="32">
    <w:name w:val="page number"/>
    <w:uiPriority w:val="0"/>
    <w:rPr>
      <w:rFonts w:ascii="宋体" w:hAnsi="Times New Roman" w:eastAsia="宋体"/>
      <w:sz w:val="18"/>
    </w:rPr>
  </w:style>
  <w:style w:type="character" w:styleId="33">
    <w:name w:val="Emphasis"/>
    <w:qFormat/>
    <w:uiPriority w:val="20"/>
    <w:rPr>
      <w:i/>
      <w:iCs/>
    </w:rPr>
  </w:style>
  <w:style w:type="character" w:styleId="34">
    <w:name w:val="Hyperlink"/>
    <w:uiPriority w:val="99"/>
    <w:rPr>
      <w:rFonts w:ascii="宋体" w:hAnsi="Times New Roman" w:eastAsia="宋体"/>
      <w:color w:val="auto"/>
      <w:spacing w:val="0"/>
      <w:w w:val="100"/>
      <w:position w:val="0"/>
      <w:sz w:val="21"/>
      <w:u w:val="none"/>
      <w:vertAlign w:val="baseline"/>
    </w:rPr>
  </w:style>
  <w:style w:type="character" w:styleId="35">
    <w:name w:val="annotation reference"/>
    <w:basedOn w:val="30"/>
    <w:semiHidden/>
    <w:unhideWhenUsed/>
    <w:uiPriority w:val="99"/>
    <w:rPr>
      <w:sz w:val="21"/>
      <w:szCs w:val="21"/>
    </w:rPr>
  </w:style>
  <w:style w:type="character" w:styleId="36">
    <w:name w:val="footnote reference"/>
    <w:semiHidden/>
    <w:uiPriority w:val="0"/>
    <w:rPr>
      <w:rFonts w:ascii="宋体" w:hAnsi="宋体" w:eastAsia="宋体" w:cs="Times New Roman"/>
      <w:spacing w:val="0"/>
      <w:sz w:val="18"/>
      <w:vertAlign w:val="superscript"/>
    </w:rPr>
  </w:style>
  <w:style w:type="character" w:customStyle="1" w:styleId="37">
    <w:name w:val="页脚 Char"/>
    <w:basedOn w:val="30"/>
    <w:link w:val="18"/>
    <w:qFormat/>
    <w:uiPriority w:val="99"/>
    <w:rPr>
      <w:sz w:val="18"/>
      <w:szCs w:val="18"/>
    </w:rPr>
  </w:style>
  <w:style w:type="character" w:customStyle="1" w:styleId="38">
    <w:name w:val="标题 1 Char"/>
    <w:basedOn w:val="30"/>
    <w:link w:val="2"/>
    <w:qFormat/>
    <w:uiPriority w:val="0"/>
    <w:rPr>
      <w:rFonts w:ascii="宋体" w:hAnsi="宋体" w:eastAsia="宋体" w:cs="宋体"/>
      <w:b/>
      <w:bCs/>
      <w:kern w:val="44"/>
      <w:sz w:val="44"/>
      <w:szCs w:val="44"/>
    </w:rPr>
  </w:style>
  <w:style w:type="character" w:customStyle="1" w:styleId="39">
    <w:name w:val="标题 2 Char"/>
    <w:basedOn w:val="30"/>
    <w:link w:val="3"/>
    <w:uiPriority w:val="0"/>
    <w:rPr>
      <w:rFonts w:ascii="Arial" w:hAnsi="Arial" w:eastAsia="黑体" w:cs="宋体"/>
      <w:b/>
      <w:bCs/>
      <w:sz w:val="32"/>
      <w:szCs w:val="32"/>
    </w:rPr>
  </w:style>
  <w:style w:type="character" w:customStyle="1" w:styleId="40">
    <w:name w:val="标题 3 Char"/>
    <w:basedOn w:val="30"/>
    <w:link w:val="4"/>
    <w:uiPriority w:val="9"/>
    <w:rPr>
      <w:rFonts w:ascii="宋体" w:hAnsi="宋体" w:eastAsia="宋体" w:cs="宋体"/>
      <w:b/>
      <w:bCs/>
      <w:sz w:val="32"/>
      <w:szCs w:val="32"/>
    </w:rPr>
  </w:style>
  <w:style w:type="character" w:customStyle="1" w:styleId="41">
    <w:name w:val="标题 4 Char"/>
    <w:basedOn w:val="30"/>
    <w:link w:val="5"/>
    <w:uiPriority w:val="9"/>
    <w:rPr>
      <w:rFonts w:ascii="Arial" w:hAnsi="Arial" w:eastAsia="黑体" w:cs="宋体"/>
      <w:b/>
      <w:bCs/>
      <w:sz w:val="28"/>
      <w:szCs w:val="28"/>
    </w:rPr>
  </w:style>
  <w:style w:type="character" w:customStyle="1" w:styleId="42">
    <w:name w:val="标题 5 Char"/>
    <w:basedOn w:val="30"/>
    <w:link w:val="6"/>
    <w:uiPriority w:val="0"/>
    <w:rPr>
      <w:rFonts w:ascii="宋体" w:hAnsi="宋体" w:eastAsia="宋体" w:cs="宋体"/>
      <w:b/>
      <w:bCs/>
      <w:sz w:val="28"/>
      <w:szCs w:val="28"/>
    </w:rPr>
  </w:style>
  <w:style w:type="character" w:customStyle="1" w:styleId="43">
    <w:name w:val="标题 6 Char"/>
    <w:basedOn w:val="30"/>
    <w:link w:val="7"/>
    <w:uiPriority w:val="0"/>
    <w:rPr>
      <w:rFonts w:ascii="Arial" w:hAnsi="Arial" w:eastAsia="黑体" w:cs="宋体"/>
      <w:b/>
      <w:bCs/>
      <w:sz w:val="24"/>
      <w:szCs w:val="24"/>
    </w:rPr>
  </w:style>
  <w:style w:type="character" w:customStyle="1" w:styleId="44">
    <w:name w:val="标题 7 Char"/>
    <w:basedOn w:val="30"/>
    <w:link w:val="8"/>
    <w:uiPriority w:val="0"/>
    <w:rPr>
      <w:rFonts w:ascii="宋体" w:hAnsi="宋体" w:eastAsia="宋体" w:cs="宋体"/>
      <w:b/>
      <w:bCs/>
      <w:sz w:val="24"/>
      <w:szCs w:val="24"/>
    </w:rPr>
  </w:style>
  <w:style w:type="character" w:customStyle="1" w:styleId="45">
    <w:name w:val="标题 8 Char"/>
    <w:basedOn w:val="30"/>
    <w:link w:val="9"/>
    <w:uiPriority w:val="0"/>
    <w:rPr>
      <w:rFonts w:ascii="Arial" w:hAnsi="Arial" w:eastAsia="黑体" w:cs="宋体"/>
      <w:sz w:val="24"/>
      <w:szCs w:val="24"/>
    </w:rPr>
  </w:style>
  <w:style w:type="character" w:customStyle="1" w:styleId="46">
    <w:name w:val="标题 9 Char"/>
    <w:basedOn w:val="30"/>
    <w:link w:val="10"/>
    <w:uiPriority w:val="0"/>
    <w:rPr>
      <w:rFonts w:ascii="Arial" w:hAnsi="Arial" w:eastAsia="黑体" w:cs="宋体"/>
      <w:sz w:val="24"/>
      <w:szCs w:val="24"/>
    </w:rPr>
  </w:style>
  <w:style w:type="character" w:customStyle="1" w:styleId="47">
    <w:name w:val="页眉 Char"/>
    <w:basedOn w:val="30"/>
    <w:link w:val="19"/>
    <w:uiPriority w:val="99"/>
    <w:rPr>
      <w:rFonts w:ascii="宋体" w:hAnsi="宋体" w:eastAsia="宋体" w:cs="宋体"/>
      <w:sz w:val="18"/>
      <w:szCs w:val="18"/>
    </w:rPr>
  </w:style>
  <w:style w:type="character" w:customStyle="1" w:styleId="48">
    <w:name w:val="批注框文本 Char"/>
    <w:basedOn w:val="30"/>
    <w:link w:val="17"/>
    <w:semiHidden/>
    <w:uiPriority w:val="99"/>
    <w:rPr>
      <w:rFonts w:ascii="宋体" w:hAnsi="宋体" w:eastAsia="宋体" w:cs="宋体"/>
      <w:sz w:val="18"/>
      <w:szCs w:val="18"/>
    </w:rPr>
  </w:style>
  <w:style w:type="paragraph" w:styleId="49">
    <w:name w:val="Quote"/>
    <w:basedOn w:val="1"/>
    <w:next w:val="1"/>
    <w:link w:val="50"/>
    <w:qFormat/>
    <w:uiPriority w:val="29"/>
    <w:pPr>
      <w:widowControl/>
      <w:jc w:val="left"/>
    </w:pPr>
    <w:rPr>
      <w:rFonts w:ascii="宋体" w:hAnsi="宋体" w:cs="宋体"/>
      <w:i/>
      <w:iCs/>
      <w:color w:val="000000"/>
      <w:kern w:val="0"/>
      <w:sz w:val="24"/>
      <w:szCs w:val="24"/>
    </w:rPr>
  </w:style>
  <w:style w:type="character" w:customStyle="1" w:styleId="50">
    <w:name w:val="引用 Char"/>
    <w:basedOn w:val="30"/>
    <w:link w:val="49"/>
    <w:uiPriority w:val="29"/>
    <w:rPr>
      <w:rFonts w:ascii="宋体" w:hAnsi="宋体" w:eastAsia="宋体" w:cs="宋体"/>
      <w:i/>
      <w:iCs/>
      <w:color w:val="000000"/>
      <w:sz w:val="24"/>
      <w:szCs w:val="24"/>
    </w:rPr>
  </w:style>
  <w:style w:type="character" w:customStyle="1" w:styleId="51">
    <w:name w:val="标题 Char"/>
    <w:basedOn w:val="30"/>
    <w:link w:val="27"/>
    <w:uiPriority w:val="0"/>
    <w:rPr>
      <w:rFonts w:ascii="Arial" w:hAnsi="Arial" w:eastAsia="宋体" w:cs="Arial"/>
      <w:b/>
      <w:bCs/>
      <w:sz w:val="32"/>
      <w:szCs w:val="32"/>
    </w:rPr>
  </w:style>
  <w:style w:type="paragraph" w:customStyle="1" w:styleId="52">
    <w:name w:val="标准标志"/>
    <w:next w:val="1"/>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3">
    <w:name w:val="标准称谓"/>
    <w:next w:val="1"/>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4">
    <w:name w:val="标准文件_页脚偶数页"/>
    <w:uiPriority w:val="0"/>
    <w:pPr>
      <w:ind w:left="198"/>
    </w:pPr>
    <w:rPr>
      <w:rFonts w:ascii="宋体" w:hAnsi="Times New Roman" w:eastAsia="宋体" w:cs="Times New Roman"/>
      <w:sz w:val="18"/>
      <w:lang w:val="en-US" w:eastAsia="zh-CN" w:bidi="ar-SA"/>
    </w:rPr>
  </w:style>
  <w:style w:type="paragraph" w:customStyle="1" w:styleId="55">
    <w:name w:val="标准文件_页脚奇数页"/>
    <w:uiPriority w:val="0"/>
    <w:pPr>
      <w:ind w:right="227"/>
      <w:jc w:val="right"/>
    </w:pPr>
    <w:rPr>
      <w:rFonts w:ascii="宋体" w:hAnsi="Times New Roman" w:eastAsia="宋体" w:cs="Times New Roman"/>
      <w:sz w:val="18"/>
      <w:lang w:val="en-US" w:eastAsia="zh-CN" w:bidi="ar-SA"/>
    </w:rPr>
  </w:style>
  <w:style w:type="paragraph" w:customStyle="1" w:styleId="56">
    <w:name w:val="标准书眉一"/>
    <w:uiPriority w:val="0"/>
    <w:pPr>
      <w:jc w:val="both"/>
    </w:pPr>
    <w:rPr>
      <w:rFonts w:ascii="Times New Roman" w:hAnsi="Times New Roman" w:eastAsia="宋体" w:cs="Times New Roman"/>
      <w:lang w:val="en-US" w:eastAsia="zh-CN" w:bidi="ar-SA"/>
    </w:rPr>
  </w:style>
  <w:style w:type="paragraph" w:customStyle="1" w:styleId="57">
    <w:name w:val="标准文件_ICS"/>
    <w:basedOn w:val="1"/>
    <w:uiPriority w:val="0"/>
    <w:pPr>
      <w:widowControl/>
      <w:spacing w:line="0" w:lineRule="atLeast"/>
      <w:jc w:val="left"/>
    </w:pPr>
    <w:rPr>
      <w:rFonts w:ascii="黑体" w:hAnsi="宋体" w:eastAsia="黑体" w:cs="宋体"/>
      <w:kern w:val="0"/>
      <w:sz w:val="24"/>
      <w:szCs w:val="24"/>
    </w:rPr>
  </w:style>
  <w:style w:type="paragraph" w:customStyle="1" w:styleId="58">
    <w:name w:val="标准文件_标准正文"/>
    <w:basedOn w:val="1"/>
    <w:next w:val="59"/>
    <w:uiPriority w:val="0"/>
    <w:pPr>
      <w:widowControl/>
      <w:snapToGrid w:val="0"/>
      <w:ind w:firstLine="200" w:firstLineChars="200"/>
      <w:jc w:val="left"/>
    </w:pPr>
    <w:rPr>
      <w:rFonts w:ascii="宋体" w:hAnsi="宋体" w:cs="宋体"/>
      <w:kern w:val="0"/>
      <w:sz w:val="24"/>
      <w:szCs w:val="24"/>
    </w:rPr>
  </w:style>
  <w:style w:type="paragraph" w:customStyle="1" w:styleId="59">
    <w:name w:val="标准文件_段"/>
    <w:link w:val="187"/>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60">
    <w:name w:val="标准文件_版本"/>
    <w:basedOn w:val="58"/>
    <w:uiPriority w:val="0"/>
    <w:pPr>
      <w:snapToGrid/>
      <w:ind w:firstLine="0" w:firstLineChars="0"/>
    </w:pPr>
    <w:rPr>
      <w:kern w:val="2"/>
    </w:rPr>
  </w:style>
  <w:style w:type="paragraph" w:customStyle="1" w:styleId="61">
    <w:name w:val="标准文件_标准部门"/>
    <w:basedOn w:val="1"/>
    <w:uiPriority w:val="0"/>
    <w:pPr>
      <w:widowControl/>
      <w:jc w:val="center"/>
    </w:pPr>
    <w:rPr>
      <w:rFonts w:ascii="黑体" w:hAnsi="宋体" w:eastAsia="黑体" w:cs="宋体"/>
      <w:kern w:val="0"/>
      <w:sz w:val="44"/>
      <w:szCs w:val="24"/>
    </w:rPr>
  </w:style>
  <w:style w:type="paragraph" w:customStyle="1" w:styleId="62">
    <w:name w:val="标准文件_标准代替"/>
    <w:basedOn w:val="1"/>
    <w:next w:val="1"/>
    <w:uiPriority w:val="0"/>
    <w:pPr>
      <w:widowControl/>
      <w:spacing w:line="310" w:lineRule="exact"/>
      <w:jc w:val="right"/>
    </w:pPr>
    <w:rPr>
      <w:rFonts w:ascii="宋体" w:hAnsi="宋体" w:cs="宋体"/>
      <w:kern w:val="0"/>
      <w:sz w:val="24"/>
      <w:szCs w:val="24"/>
    </w:rPr>
  </w:style>
  <w:style w:type="paragraph" w:customStyle="1" w:styleId="63">
    <w:name w:val="标准文件_标准名称标题"/>
    <w:basedOn w:val="1"/>
    <w:next w:val="1"/>
    <w:uiPriority w:val="0"/>
    <w:pPr>
      <w:widowControl/>
      <w:shd w:val="clear" w:color="FFFFFF" w:fill="FFFFFF"/>
      <w:spacing w:before="640" w:after="100"/>
      <w:jc w:val="center"/>
    </w:pPr>
    <w:rPr>
      <w:rFonts w:ascii="黑体" w:hAnsi="宋体" w:eastAsia="黑体" w:cs="宋体"/>
      <w:kern w:val="0"/>
      <w:sz w:val="32"/>
      <w:szCs w:val="24"/>
    </w:rPr>
  </w:style>
  <w:style w:type="paragraph" w:customStyle="1" w:styleId="64">
    <w:name w:val="标准文件_页眉奇数页"/>
    <w:next w:val="1"/>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5">
    <w:name w:val="标准文件_页眉偶数页"/>
    <w:basedOn w:val="64"/>
    <w:next w:val="1"/>
    <w:uiPriority w:val="0"/>
    <w:pPr>
      <w:jc w:val="left"/>
    </w:pPr>
  </w:style>
  <w:style w:type="paragraph" w:customStyle="1" w:styleId="66">
    <w:name w:val="标准文件_参考文献标题"/>
    <w:basedOn w:val="1"/>
    <w:next w:val="1"/>
    <w:uiPriority w:val="0"/>
    <w:pPr>
      <w:widowControl/>
      <w:shd w:val="clear" w:color="FFFFFF" w:fill="FFFFFF"/>
      <w:spacing w:before="40" w:beforeLines="40" w:after="50" w:afterLines="50"/>
      <w:jc w:val="center"/>
      <w:outlineLvl w:val="0"/>
    </w:pPr>
    <w:rPr>
      <w:rFonts w:ascii="黑体" w:hAnsi="宋体" w:eastAsia="黑体" w:cs="宋体"/>
      <w:kern w:val="0"/>
      <w:sz w:val="24"/>
      <w:szCs w:val="24"/>
    </w:rPr>
  </w:style>
  <w:style w:type="paragraph" w:customStyle="1" w:styleId="67">
    <w:name w:val="标准文件_参考文献条目"/>
    <w:uiPriority w:val="0"/>
    <w:pPr>
      <w:numPr>
        <w:ilvl w:val="0"/>
        <w:numId w:val="1"/>
      </w:numPr>
    </w:pPr>
    <w:rPr>
      <w:rFonts w:ascii="宋体" w:hAnsi="Times New Roman" w:eastAsia="宋体" w:cs="Times New Roman"/>
      <w:lang w:val="en-US" w:eastAsia="zh-CN" w:bidi="ar-SA"/>
    </w:rPr>
  </w:style>
  <w:style w:type="paragraph" w:customStyle="1" w:styleId="68">
    <w:name w:val="标准文件_二级条标题"/>
    <w:next w:val="59"/>
    <w:uiPriority w:val="0"/>
    <w:pPr>
      <w:widowControl w:val="0"/>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9">
    <w:name w:val="标准文件_发布"/>
    <w:uiPriority w:val="0"/>
    <w:rPr>
      <w:rFonts w:ascii="黑体" w:eastAsia="黑体"/>
      <w:spacing w:val="0"/>
      <w:w w:val="100"/>
      <w:position w:val="3"/>
      <w:sz w:val="28"/>
    </w:rPr>
  </w:style>
  <w:style w:type="paragraph" w:customStyle="1" w:styleId="70">
    <w:name w:val="标准文件_方框数字列项"/>
    <w:basedOn w:val="59"/>
    <w:uiPriority w:val="0"/>
    <w:pPr>
      <w:ind w:left="823" w:firstLine="0" w:firstLineChars="0"/>
    </w:pPr>
  </w:style>
  <w:style w:type="paragraph" w:customStyle="1" w:styleId="71">
    <w:name w:val="标准文件_封面标准编号"/>
    <w:basedOn w:val="1"/>
    <w:next w:val="62"/>
    <w:uiPriority w:val="0"/>
    <w:pPr>
      <w:widowControl/>
      <w:spacing w:line="310" w:lineRule="exact"/>
      <w:jc w:val="right"/>
    </w:pPr>
    <w:rPr>
      <w:rFonts w:ascii="黑体" w:hAnsi="宋体" w:eastAsia="黑体" w:cs="宋体"/>
      <w:kern w:val="0"/>
      <w:sz w:val="28"/>
      <w:szCs w:val="24"/>
    </w:rPr>
  </w:style>
  <w:style w:type="paragraph" w:customStyle="1" w:styleId="72">
    <w:name w:val="标准文件_封面标准分类号"/>
    <w:basedOn w:val="1"/>
    <w:uiPriority w:val="0"/>
    <w:pPr>
      <w:widowControl/>
      <w:jc w:val="left"/>
    </w:pPr>
    <w:rPr>
      <w:rFonts w:ascii="黑体" w:hAnsi="宋体" w:eastAsia="黑体" w:cs="宋体"/>
      <w:b/>
      <w:kern w:val="0"/>
      <w:sz w:val="28"/>
      <w:szCs w:val="24"/>
    </w:rPr>
  </w:style>
  <w:style w:type="paragraph" w:customStyle="1" w:styleId="73">
    <w:name w:val="标准文件_封面标准名称"/>
    <w:basedOn w:val="1"/>
    <w:uiPriority w:val="0"/>
    <w:pPr>
      <w:widowControl/>
      <w:jc w:val="center"/>
    </w:pPr>
    <w:rPr>
      <w:rFonts w:ascii="黑体" w:hAnsi="宋体" w:eastAsia="黑体" w:cs="宋体"/>
      <w:kern w:val="0"/>
      <w:sz w:val="52"/>
      <w:szCs w:val="24"/>
    </w:rPr>
  </w:style>
  <w:style w:type="paragraph" w:customStyle="1" w:styleId="74">
    <w:name w:val="标准文件_封面标准英文名称"/>
    <w:basedOn w:val="1"/>
    <w:uiPriority w:val="0"/>
    <w:pPr>
      <w:widowControl/>
      <w:jc w:val="center"/>
    </w:pPr>
    <w:rPr>
      <w:rFonts w:ascii="黑体" w:hAnsi="宋体" w:eastAsia="黑体" w:cs="宋体"/>
      <w:b/>
      <w:kern w:val="0"/>
      <w:sz w:val="28"/>
      <w:szCs w:val="24"/>
    </w:rPr>
  </w:style>
  <w:style w:type="paragraph" w:customStyle="1" w:styleId="75">
    <w:name w:val="标准文件_封面发布日期"/>
    <w:basedOn w:val="1"/>
    <w:uiPriority w:val="0"/>
    <w:pPr>
      <w:widowControl/>
      <w:spacing w:line="310" w:lineRule="exact"/>
      <w:jc w:val="left"/>
    </w:pPr>
    <w:rPr>
      <w:rFonts w:ascii="黑体" w:hAnsi="宋体" w:eastAsia="黑体" w:cs="宋体"/>
      <w:kern w:val="0"/>
      <w:sz w:val="28"/>
      <w:szCs w:val="24"/>
    </w:rPr>
  </w:style>
  <w:style w:type="paragraph" w:customStyle="1" w:styleId="76">
    <w:name w:val="标准文件_封面密级"/>
    <w:basedOn w:val="1"/>
    <w:uiPriority w:val="0"/>
    <w:pPr>
      <w:widowControl/>
      <w:jc w:val="left"/>
    </w:pPr>
    <w:rPr>
      <w:rFonts w:ascii="宋体" w:hAnsi="宋体" w:eastAsia="黑体" w:cs="宋体"/>
      <w:kern w:val="0"/>
      <w:sz w:val="32"/>
      <w:szCs w:val="24"/>
    </w:rPr>
  </w:style>
  <w:style w:type="paragraph" w:customStyle="1" w:styleId="77">
    <w:name w:val="标准文件_封面实施日期"/>
    <w:basedOn w:val="1"/>
    <w:uiPriority w:val="0"/>
    <w:pPr>
      <w:widowControl/>
      <w:spacing w:line="310" w:lineRule="exact"/>
      <w:jc w:val="right"/>
    </w:pPr>
    <w:rPr>
      <w:rFonts w:ascii="黑体" w:hAnsi="宋体" w:eastAsia="黑体" w:cs="宋体"/>
      <w:kern w:val="0"/>
      <w:sz w:val="28"/>
      <w:szCs w:val="24"/>
    </w:rPr>
  </w:style>
  <w:style w:type="paragraph" w:customStyle="1" w:styleId="78">
    <w:name w:val="标准文件_封面抬头"/>
    <w:basedOn w:val="59"/>
    <w:uiPriority w:val="0"/>
    <w:pPr>
      <w:adjustRightInd w:val="0"/>
      <w:spacing w:line="800" w:lineRule="exact"/>
      <w:ind w:firstLine="0" w:firstLineChars="0"/>
      <w:jc w:val="distribute"/>
    </w:pPr>
    <w:rPr>
      <w:rFonts w:ascii="黑体" w:eastAsia="黑体"/>
      <w:b/>
      <w:sz w:val="64"/>
    </w:rPr>
  </w:style>
  <w:style w:type="paragraph" w:customStyle="1" w:styleId="79">
    <w:name w:val="标准文件_附录标识"/>
    <w:next w:val="59"/>
    <w:uiPriority w:val="0"/>
    <w:pPr>
      <w:numPr>
        <w:ilvl w:val="0"/>
        <w:numId w:val="2"/>
      </w:numPr>
      <w:shd w:val="clear" w:color="FFFFFF" w:fill="FFFFFF"/>
      <w:tabs>
        <w:tab w:val="left" w:pos="6406"/>
      </w:tabs>
      <w:spacing w:before="25" w:beforeLines="25" w:after="50" w:afterLines="50"/>
      <w:jc w:val="center"/>
      <w:outlineLvl w:val="0"/>
    </w:pPr>
    <w:rPr>
      <w:rFonts w:ascii="黑体" w:hAnsi="Times New Roman" w:eastAsia="黑体" w:cs="Times New Roman"/>
      <w:sz w:val="21"/>
      <w:lang w:val="en-US" w:eastAsia="zh-CN" w:bidi="ar-SA"/>
    </w:rPr>
  </w:style>
  <w:style w:type="paragraph" w:customStyle="1" w:styleId="80">
    <w:name w:val="标准文件_附录表标题"/>
    <w:next w:val="59"/>
    <w:uiPriority w:val="0"/>
    <w:pPr>
      <w:numPr>
        <w:ilvl w:val="1"/>
        <w:numId w:val="3"/>
      </w:numPr>
      <w:adjustRightInd w:val="0"/>
      <w:snapToGrid w:val="0"/>
      <w:spacing w:before="50" w:beforeLines="50" w:after="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81">
    <w:name w:val="标准文件_附录一级条标题"/>
    <w:next w:val="59"/>
    <w:uiPriority w:val="0"/>
    <w:pPr>
      <w:widowControl w:val="0"/>
      <w:numPr>
        <w:ilvl w:val="1"/>
        <w:numId w:val="2"/>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2">
    <w:name w:val="标准文件_附录二级条标题"/>
    <w:basedOn w:val="81"/>
    <w:next w:val="59"/>
    <w:uiPriority w:val="0"/>
    <w:pPr>
      <w:widowControl/>
      <w:numPr>
        <w:ilvl w:val="2"/>
      </w:numPr>
      <w:wordWrap w:val="0"/>
      <w:overflowPunct w:val="0"/>
      <w:autoSpaceDE w:val="0"/>
      <w:autoSpaceDN w:val="0"/>
      <w:textAlignment w:val="baseline"/>
      <w:outlineLvl w:val="3"/>
    </w:pPr>
  </w:style>
  <w:style w:type="paragraph" w:customStyle="1" w:styleId="83">
    <w:name w:val="标准文件_附录公式"/>
    <w:basedOn w:val="58"/>
    <w:next w:val="58"/>
    <w:uiPriority w:val="0"/>
    <w:pPr>
      <w:tabs>
        <w:tab w:val="center" w:pos="4678"/>
        <w:tab w:val="right" w:leader="middleDot" w:pos="9356"/>
      </w:tabs>
      <w:ind w:right="-51" w:firstLine="0" w:firstLineChars="0"/>
    </w:pPr>
  </w:style>
  <w:style w:type="paragraph" w:customStyle="1" w:styleId="84">
    <w:name w:val="标准文件_附录三级条标题"/>
    <w:next w:val="59"/>
    <w:uiPriority w:val="0"/>
    <w:pPr>
      <w:widowControl w:val="0"/>
      <w:numPr>
        <w:ilvl w:val="3"/>
        <w:numId w:val="2"/>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5">
    <w:name w:val="标准文件_附录四级条标题"/>
    <w:next w:val="59"/>
    <w:uiPriority w:val="0"/>
    <w:pPr>
      <w:widowControl w:val="0"/>
      <w:numPr>
        <w:ilvl w:val="4"/>
        <w:numId w:val="2"/>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6">
    <w:name w:val="标准文件_附录图标题"/>
    <w:next w:val="59"/>
    <w:uiPriority w:val="0"/>
    <w:pPr>
      <w:numPr>
        <w:ilvl w:val="1"/>
        <w:numId w:val="4"/>
      </w:numPr>
      <w:adjustRightInd w:val="0"/>
      <w:snapToGrid w:val="0"/>
      <w:spacing w:before="50" w:beforeLines="50" w:after="50" w:afterLines="50"/>
      <w:ind w:firstLine="420"/>
      <w:jc w:val="center"/>
    </w:pPr>
    <w:rPr>
      <w:rFonts w:ascii="黑体" w:hAnsi="Times New Roman" w:eastAsia="黑体" w:cs="Times New Roman"/>
      <w:sz w:val="21"/>
      <w:lang w:val="en-US" w:eastAsia="zh-CN" w:bidi="ar-SA"/>
    </w:rPr>
  </w:style>
  <w:style w:type="paragraph" w:customStyle="1" w:styleId="87">
    <w:name w:val="标准文件_附录五级条标题"/>
    <w:next w:val="59"/>
    <w:uiPriority w:val="0"/>
    <w:pPr>
      <w:widowControl w:val="0"/>
      <w:numPr>
        <w:ilvl w:val="5"/>
        <w:numId w:val="2"/>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8">
    <w:name w:val="标准文件_附录英文标识"/>
    <w:next w:val="14"/>
    <w:uiPriority w:val="0"/>
    <w:pPr>
      <w:numPr>
        <w:ilvl w:val="0"/>
        <w:numId w:val="5"/>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9">
    <w:name w:val="正文文本 Char"/>
    <w:basedOn w:val="30"/>
    <w:link w:val="14"/>
    <w:uiPriority w:val="0"/>
    <w:rPr>
      <w:rFonts w:ascii="宋体" w:hAnsi="宋体" w:eastAsia="宋体" w:cs="宋体"/>
      <w:sz w:val="24"/>
      <w:szCs w:val="24"/>
    </w:rPr>
  </w:style>
  <w:style w:type="paragraph" w:customStyle="1" w:styleId="90">
    <w:name w:val="标准文件_附录章标题"/>
    <w:next w:val="59"/>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1">
    <w:name w:val="标准文件_公式后的破折号"/>
    <w:basedOn w:val="59"/>
    <w:next w:val="59"/>
    <w:uiPriority w:val="0"/>
    <w:pPr>
      <w:ind w:left="488" w:leftChars="200" w:hanging="289" w:hangingChars="290"/>
    </w:pPr>
  </w:style>
  <w:style w:type="paragraph" w:customStyle="1" w:styleId="92">
    <w:name w:val="标准文件_前言、引言标题"/>
    <w:next w:val="1"/>
    <w:uiPriority w:val="0"/>
    <w:pPr>
      <w:shd w:val="clear" w:color="FFFFFF" w:fill="FFFFFF"/>
      <w:spacing w:after="150" w:afterLines="150"/>
      <w:jc w:val="center"/>
      <w:outlineLvl w:val="0"/>
    </w:pPr>
    <w:rPr>
      <w:rFonts w:ascii="黑体" w:hAnsi="Times New Roman" w:eastAsia="黑体" w:cs="Times New Roman"/>
      <w:sz w:val="32"/>
      <w:lang w:val="en-US" w:eastAsia="zh-CN" w:bidi="ar-SA"/>
    </w:rPr>
  </w:style>
  <w:style w:type="paragraph" w:customStyle="1" w:styleId="93">
    <w:name w:val="标准文件_目次、标准名称标题"/>
    <w:basedOn w:val="92"/>
    <w:next w:val="59"/>
    <w:uiPriority w:val="0"/>
    <w:pPr>
      <w:spacing w:line="460" w:lineRule="exact"/>
    </w:pPr>
  </w:style>
  <w:style w:type="paragraph" w:customStyle="1" w:styleId="94">
    <w:name w:val="标准文件_目录标题"/>
    <w:basedOn w:val="1"/>
    <w:uiPriority w:val="0"/>
    <w:pPr>
      <w:widowControl/>
      <w:spacing w:after="150" w:afterLines="150"/>
      <w:jc w:val="center"/>
    </w:pPr>
    <w:rPr>
      <w:rFonts w:ascii="黑体" w:hAnsi="宋体" w:eastAsia="黑体" w:cs="宋体"/>
      <w:kern w:val="0"/>
      <w:sz w:val="32"/>
      <w:szCs w:val="24"/>
    </w:rPr>
  </w:style>
  <w:style w:type="paragraph" w:customStyle="1" w:styleId="95">
    <w:name w:val="标准文件_破折号列项"/>
    <w:uiPriority w:val="0"/>
    <w:pPr>
      <w:numPr>
        <w:ilvl w:val="0"/>
        <w:numId w:val="6"/>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6">
    <w:name w:val="标准文件_破折号列项（二级）"/>
    <w:basedOn w:val="95"/>
    <w:uiPriority w:val="0"/>
    <w:pPr>
      <w:numPr>
        <w:numId w:val="7"/>
      </w:numPr>
      <w:ind w:left="0" w:firstLine="200"/>
    </w:pPr>
  </w:style>
  <w:style w:type="paragraph" w:customStyle="1" w:styleId="97">
    <w:name w:val="标准文件_三级条标题"/>
    <w:basedOn w:val="68"/>
    <w:next w:val="59"/>
    <w:uiPriority w:val="0"/>
    <w:pPr>
      <w:widowControl/>
      <w:outlineLvl w:val="3"/>
    </w:pPr>
  </w:style>
  <w:style w:type="character" w:customStyle="1" w:styleId="98">
    <w:name w:val="Subtle Reference"/>
    <w:qFormat/>
    <w:uiPriority w:val="31"/>
    <w:rPr>
      <w:smallCaps/>
      <w:color w:val="C0504D"/>
      <w:u w:val="single"/>
    </w:rPr>
  </w:style>
  <w:style w:type="paragraph" w:customStyle="1" w:styleId="99">
    <w:name w:val="标准文件_示例后续"/>
    <w:basedOn w:val="1"/>
    <w:uiPriority w:val="0"/>
    <w:pPr>
      <w:widowControl/>
      <w:ind w:firstLine="200" w:firstLineChars="200"/>
      <w:jc w:val="left"/>
    </w:pPr>
    <w:rPr>
      <w:rFonts w:ascii="宋体" w:hAnsi="宋体" w:cs="宋体"/>
      <w:kern w:val="0"/>
      <w:sz w:val="18"/>
      <w:szCs w:val="24"/>
    </w:rPr>
  </w:style>
  <w:style w:type="paragraph" w:customStyle="1" w:styleId="100">
    <w:name w:val="标准文件_数字编号列项"/>
    <w:uiPriority w:val="0"/>
    <w:pPr>
      <w:numPr>
        <w:ilvl w:val="0"/>
        <w:numId w:val="8"/>
      </w:numPr>
      <w:jc w:val="both"/>
    </w:pPr>
    <w:rPr>
      <w:rFonts w:ascii="宋体" w:hAnsi="宋体" w:eastAsia="宋体" w:cs="Times New Roman"/>
      <w:sz w:val="21"/>
      <w:lang w:val="en-US" w:eastAsia="zh-CN" w:bidi="ar-SA"/>
    </w:rPr>
  </w:style>
  <w:style w:type="paragraph" w:customStyle="1" w:styleId="101">
    <w:name w:val="标准文件_四级条标题"/>
    <w:next w:val="59"/>
    <w:uiPriority w:val="0"/>
    <w:pPr>
      <w:widowControl w:val="0"/>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2">
    <w:name w:val="脚注文本 Char"/>
    <w:basedOn w:val="30"/>
    <w:link w:val="22"/>
    <w:semiHidden/>
    <w:uiPriority w:val="0"/>
    <w:rPr>
      <w:rFonts w:ascii="宋体" w:hAnsi="宋体" w:eastAsia="宋体" w:cs="宋体"/>
      <w:sz w:val="18"/>
      <w:szCs w:val="18"/>
    </w:rPr>
  </w:style>
  <w:style w:type="paragraph" w:customStyle="1" w:styleId="103">
    <w:name w:val="标准文件_条文脚注"/>
    <w:basedOn w:val="22"/>
    <w:uiPriority w:val="0"/>
    <w:pPr>
      <w:adjustRightInd w:val="0"/>
      <w:spacing w:line="240" w:lineRule="auto"/>
      <w:ind w:left="0" w:leftChars="0" w:firstLine="200" w:firstLineChars="200"/>
      <w:jc w:val="both"/>
    </w:pPr>
  </w:style>
  <w:style w:type="paragraph" w:customStyle="1" w:styleId="104">
    <w:name w:val="标准文件_图表脚注"/>
    <w:basedOn w:val="1"/>
    <w:next w:val="59"/>
    <w:uiPriority w:val="0"/>
    <w:pPr>
      <w:widowControl/>
      <w:numPr>
        <w:ilvl w:val="0"/>
        <w:numId w:val="9"/>
      </w:numPr>
      <w:jc w:val="left"/>
    </w:pPr>
    <w:rPr>
      <w:rFonts w:ascii="宋体" w:hAnsi="宋体" w:cs="宋体"/>
      <w:kern w:val="0"/>
      <w:sz w:val="18"/>
      <w:szCs w:val="24"/>
    </w:rPr>
  </w:style>
  <w:style w:type="character" w:customStyle="1" w:styleId="105">
    <w:name w:val="标准文件_图表脚注内容"/>
    <w:uiPriority w:val="0"/>
    <w:rPr>
      <w:rFonts w:ascii="宋体" w:hAnsi="宋体" w:eastAsia="宋体" w:cs="Times New Roman"/>
      <w:spacing w:val="0"/>
      <w:sz w:val="18"/>
      <w:vertAlign w:val="superscript"/>
    </w:rPr>
  </w:style>
  <w:style w:type="paragraph" w:customStyle="1" w:styleId="106">
    <w:name w:val="标准文件_五级条标题"/>
    <w:next w:val="59"/>
    <w:uiPriority w:val="0"/>
    <w:pPr>
      <w:widowControl w:val="0"/>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7">
    <w:name w:val="标准文件_章标题"/>
    <w:next w:val="59"/>
    <w:uiPriority w:val="0"/>
    <w:p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8">
    <w:name w:val="标准文件_一级条标题"/>
    <w:basedOn w:val="107"/>
    <w:next w:val="59"/>
    <w:uiPriority w:val="0"/>
    <w:pPr>
      <w:spacing w:before="50" w:beforeLines="50" w:after="50" w:afterLines="50"/>
      <w:outlineLvl w:val="1"/>
    </w:pPr>
  </w:style>
  <w:style w:type="paragraph" w:customStyle="1" w:styleId="109">
    <w:name w:val="标准文件_一致程度"/>
    <w:basedOn w:val="1"/>
    <w:uiPriority w:val="0"/>
    <w:pPr>
      <w:widowControl/>
      <w:spacing w:line="440" w:lineRule="exact"/>
      <w:jc w:val="center"/>
    </w:pPr>
    <w:rPr>
      <w:rFonts w:ascii="宋体" w:hAnsi="宋体" w:cs="宋体"/>
      <w:kern w:val="0"/>
      <w:sz w:val="28"/>
      <w:szCs w:val="24"/>
    </w:rPr>
  </w:style>
  <w:style w:type="paragraph" w:customStyle="1" w:styleId="110">
    <w:name w:val="标准文件_引言标题"/>
    <w:next w:val="1"/>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1">
    <w:name w:val="标准文件_英文图表脚注"/>
    <w:basedOn w:val="58"/>
    <w:uiPriority w:val="0"/>
    <w:pPr>
      <w:snapToGrid/>
      <w:ind w:left="79" w:hanging="79" w:hangingChars="80"/>
    </w:pPr>
  </w:style>
  <w:style w:type="paragraph" w:customStyle="1" w:styleId="112">
    <w:name w:val="标准文件_数字编号列项（二级）"/>
    <w:uiPriority w:val="0"/>
    <w:pPr>
      <w:numPr>
        <w:ilvl w:val="1"/>
        <w:numId w:val="10"/>
      </w:numPr>
      <w:jc w:val="both"/>
    </w:pPr>
    <w:rPr>
      <w:rFonts w:ascii="宋体" w:hAnsi="Times New Roman" w:eastAsia="宋体" w:cs="Times New Roman"/>
      <w:sz w:val="21"/>
      <w:lang w:val="en-US" w:eastAsia="zh-CN" w:bidi="ar-SA"/>
    </w:rPr>
  </w:style>
  <w:style w:type="paragraph" w:customStyle="1" w:styleId="113">
    <w:name w:val="标准文件_英文注："/>
    <w:basedOn w:val="1"/>
    <w:next w:val="59"/>
    <w:uiPriority w:val="0"/>
    <w:pPr>
      <w:widowControl/>
      <w:numPr>
        <w:ilvl w:val="0"/>
        <w:numId w:val="11"/>
      </w:numPr>
      <w:tabs>
        <w:tab w:val="left" w:pos="420"/>
      </w:tabs>
      <w:autoSpaceDE w:val="0"/>
      <w:autoSpaceDN w:val="0"/>
      <w:jc w:val="left"/>
    </w:pPr>
    <w:rPr>
      <w:rFonts w:ascii="宋体" w:hAnsi="宋体" w:cs="宋体"/>
      <w:kern w:val="0"/>
      <w:sz w:val="18"/>
      <w:szCs w:val="20"/>
    </w:rPr>
  </w:style>
  <w:style w:type="paragraph" w:customStyle="1" w:styleId="114">
    <w:name w:val="标准文件_英文注×："/>
    <w:basedOn w:val="1"/>
    <w:uiPriority w:val="0"/>
    <w:pPr>
      <w:widowControl/>
      <w:numPr>
        <w:ilvl w:val="0"/>
        <w:numId w:val="12"/>
      </w:numPr>
      <w:tabs>
        <w:tab w:val="left" w:pos="210"/>
      </w:tabs>
      <w:autoSpaceDE w:val="0"/>
      <w:autoSpaceDN w:val="0"/>
      <w:jc w:val="left"/>
    </w:pPr>
    <w:rPr>
      <w:rFonts w:ascii="宋体" w:hAnsi="宋体" w:cs="宋体"/>
      <w:kern w:val="0"/>
      <w:sz w:val="24"/>
      <w:szCs w:val="20"/>
    </w:rPr>
  </w:style>
  <w:style w:type="paragraph" w:customStyle="1" w:styleId="115">
    <w:name w:val="标准文件_正文表标题"/>
    <w:next w:val="59"/>
    <w:uiPriority w:val="0"/>
    <w:pPr>
      <w:numPr>
        <w:ilvl w:val="0"/>
        <w:numId w:val="13"/>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6">
    <w:name w:val="标准文件_正文公式"/>
    <w:basedOn w:val="1"/>
    <w:next w:val="58"/>
    <w:uiPriority w:val="0"/>
    <w:pPr>
      <w:widowControl/>
      <w:tabs>
        <w:tab w:val="center" w:pos="4678"/>
        <w:tab w:val="right" w:leader="middleDot" w:pos="9356"/>
      </w:tabs>
      <w:jc w:val="left"/>
    </w:pPr>
    <w:rPr>
      <w:rFonts w:ascii="宋体" w:hAnsi="宋体" w:cs="宋体"/>
      <w:kern w:val="0"/>
      <w:sz w:val="24"/>
      <w:szCs w:val="24"/>
    </w:rPr>
  </w:style>
  <w:style w:type="paragraph" w:customStyle="1" w:styleId="117">
    <w:name w:val="标准文件_正文图标题"/>
    <w:next w:val="59"/>
    <w:uiPriority w:val="0"/>
    <w:pPr>
      <w:numPr>
        <w:ilvl w:val="0"/>
        <w:numId w:val="14"/>
      </w:numPr>
      <w:spacing w:before="50" w:beforeLines="50" w:after="50" w:afterLines="50"/>
      <w:jc w:val="center"/>
    </w:pPr>
    <w:rPr>
      <w:rFonts w:ascii="黑体" w:hAnsi="Times New Roman" w:eastAsia="黑体" w:cs="Times New Roman"/>
      <w:sz w:val="21"/>
      <w:lang w:val="en-US" w:eastAsia="zh-CN" w:bidi="ar-SA"/>
    </w:rPr>
  </w:style>
  <w:style w:type="paragraph" w:customStyle="1" w:styleId="118">
    <w:name w:val="标准文件_正文英文表标题"/>
    <w:next w:val="59"/>
    <w:uiPriority w:val="0"/>
    <w:pPr>
      <w:numPr>
        <w:ilvl w:val="0"/>
        <w:numId w:val="15"/>
      </w:numPr>
      <w:jc w:val="center"/>
    </w:pPr>
    <w:rPr>
      <w:rFonts w:ascii="黑体" w:hAnsi="Times New Roman" w:eastAsia="黑体" w:cs="Times New Roman"/>
      <w:sz w:val="21"/>
      <w:lang w:val="en-US" w:eastAsia="zh-CN" w:bidi="ar-SA"/>
    </w:rPr>
  </w:style>
  <w:style w:type="paragraph" w:customStyle="1" w:styleId="119">
    <w:name w:val="标准文件_正文英文图标题"/>
    <w:next w:val="59"/>
    <w:uiPriority w:val="0"/>
    <w:pPr>
      <w:numPr>
        <w:ilvl w:val="0"/>
        <w:numId w:val="16"/>
      </w:numPr>
      <w:jc w:val="center"/>
    </w:pPr>
    <w:rPr>
      <w:rFonts w:ascii="黑体" w:hAnsi="Times New Roman" w:eastAsia="黑体" w:cs="Times New Roman"/>
      <w:sz w:val="21"/>
      <w:lang w:val="en-US" w:eastAsia="zh-CN" w:bidi="ar-SA"/>
    </w:rPr>
  </w:style>
  <w:style w:type="paragraph" w:customStyle="1" w:styleId="120">
    <w:name w:val="标准文件_编号列项（三级）"/>
    <w:uiPriority w:val="0"/>
    <w:pPr>
      <w:numPr>
        <w:ilvl w:val="2"/>
        <w:numId w:val="10"/>
      </w:numPr>
    </w:pPr>
    <w:rPr>
      <w:rFonts w:ascii="宋体" w:hAnsi="Times New Roman" w:eastAsia="宋体" w:cs="Times New Roman"/>
      <w:sz w:val="21"/>
      <w:lang w:val="en-US" w:eastAsia="zh-CN" w:bidi="ar-SA"/>
    </w:rPr>
  </w:style>
  <w:style w:type="paragraph" w:customStyle="1" w:styleId="121">
    <w:name w:val="二级无标题条"/>
    <w:basedOn w:val="1"/>
    <w:uiPriority w:val="0"/>
    <w:pPr>
      <w:widowControl/>
      <w:numPr>
        <w:ilvl w:val="3"/>
        <w:numId w:val="17"/>
      </w:numPr>
      <w:jc w:val="left"/>
    </w:pPr>
    <w:rPr>
      <w:rFonts w:ascii="宋体" w:hAnsi="宋体" w:cs="宋体"/>
      <w:kern w:val="0"/>
      <w:sz w:val="24"/>
      <w:szCs w:val="24"/>
    </w:rPr>
  </w:style>
  <w:style w:type="paragraph" w:customStyle="1" w:styleId="122">
    <w:name w:val="发布部门"/>
    <w:next w:val="59"/>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3">
    <w:name w:val="发布日期"/>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4">
    <w:name w:val="封面标准代替信息"/>
    <w:basedOn w:val="1"/>
    <w:uiPriority w:val="0"/>
    <w:pPr>
      <w:framePr w:w="9138" w:h="1244" w:hRule="exact" w:wrap="auto" w:vAnchor="page" w:hAnchor="margin" w:y="2908"/>
      <w:widowControl/>
      <w:kinsoku w:val="0"/>
      <w:overflowPunct w:val="0"/>
      <w:autoSpaceDE w:val="0"/>
      <w:autoSpaceDN w:val="0"/>
      <w:spacing w:before="57" w:line="280" w:lineRule="exact"/>
      <w:jc w:val="right"/>
      <w:textAlignment w:val="center"/>
    </w:pPr>
    <w:rPr>
      <w:rFonts w:ascii="宋体" w:hAnsi="Times New Roman" w:cs="宋体"/>
      <w:kern w:val="0"/>
      <w:sz w:val="24"/>
      <w:szCs w:val="20"/>
    </w:rPr>
  </w:style>
  <w:style w:type="paragraph" w:customStyle="1" w:styleId="125">
    <w:name w:val="封面标准名称"/>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6">
    <w:name w:val="封面标准文稿编辑信息"/>
    <w:uiPriority w:val="0"/>
    <w:pPr>
      <w:spacing w:before="180" w:line="180" w:lineRule="exact"/>
      <w:jc w:val="center"/>
    </w:pPr>
    <w:rPr>
      <w:rFonts w:ascii="宋体" w:hAnsi="Times New Roman" w:eastAsia="宋体" w:cs="Times New Roman"/>
      <w:sz w:val="21"/>
      <w:lang w:val="en-US" w:eastAsia="zh-CN" w:bidi="ar-SA"/>
    </w:rPr>
  </w:style>
  <w:style w:type="paragraph" w:customStyle="1" w:styleId="127">
    <w:name w:val="封面标准文稿类别"/>
    <w:uiPriority w:val="0"/>
    <w:pPr>
      <w:spacing w:before="440" w:line="400" w:lineRule="exact"/>
      <w:jc w:val="center"/>
    </w:pPr>
    <w:rPr>
      <w:rFonts w:ascii="宋体" w:hAnsi="Times New Roman" w:eastAsia="宋体" w:cs="Times New Roman"/>
      <w:sz w:val="24"/>
      <w:lang w:val="en-US" w:eastAsia="zh-CN" w:bidi="ar-SA"/>
    </w:rPr>
  </w:style>
  <w:style w:type="paragraph" w:customStyle="1" w:styleId="128">
    <w:name w:val="封面标准英文名称"/>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9">
    <w:name w:val="封面一致性程度标识"/>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30">
    <w:name w:val="封面正文"/>
    <w:uiPriority w:val="0"/>
    <w:pPr>
      <w:jc w:val="both"/>
    </w:pPr>
    <w:rPr>
      <w:rFonts w:ascii="Times New Roman" w:hAnsi="Times New Roman" w:eastAsia="宋体" w:cs="Times New Roman"/>
      <w:lang w:val="en-US" w:eastAsia="zh-CN" w:bidi="ar-SA"/>
    </w:rPr>
  </w:style>
  <w:style w:type="paragraph" w:customStyle="1" w:styleId="131">
    <w:name w:val="附录二级无标题条"/>
    <w:basedOn w:val="1"/>
    <w:next w:val="59"/>
    <w:uiPriority w:val="0"/>
    <w:pPr>
      <w:widowControl/>
      <w:wordWrap w:val="0"/>
      <w:overflowPunct w:val="0"/>
      <w:autoSpaceDE w:val="0"/>
      <w:autoSpaceDN w:val="0"/>
      <w:jc w:val="left"/>
      <w:textAlignment w:val="baseline"/>
      <w:outlineLvl w:val="3"/>
    </w:pPr>
    <w:rPr>
      <w:rFonts w:ascii="宋体" w:hAnsi="宋体" w:cs="宋体"/>
      <w:kern w:val="21"/>
      <w:sz w:val="24"/>
      <w:szCs w:val="24"/>
    </w:rPr>
  </w:style>
  <w:style w:type="paragraph" w:customStyle="1" w:styleId="132">
    <w:name w:val="附录三级无标题条"/>
    <w:basedOn w:val="131"/>
    <w:next w:val="59"/>
    <w:uiPriority w:val="0"/>
    <w:pPr>
      <w:outlineLvl w:val="4"/>
    </w:pPr>
  </w:style>
  <w:style w:type="paragraph" w:customStyle="1" w:styleId="133">
    <w:name w:val="附录四级无标题条"/>
    <w:basedOn w:val="132"/>
    <w:next w:val="59"/>
    <w:uiPriority w:val="0"/>
    <w:pPr>
      <w:outlineLvl w:val="5"/>
    </w:pPr>
  </w:style>
  <w:style w:type="paragraph" w:customStyle="1" w:styleId="134">
    <w:name w:val="附录图"/>
    <w:next w:val="59"/>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5">
    <w:name w:val="标准文件_一级项"/>
    <w:uiPriority w:val="0"/>
    <w:pPr>
      <w:numPr>
        <w:ilvl w:val="0"/>
        <w:numId w:val="18"/>
      </w:numPr>
    </w:pPr>
    <w:rPr>
      <w:rFonts w:ascii="宋体" w:hAnsi="Times New Roman" w:eastAsia="宋体" w:cs="Times New Roman"/>
      <w:sz w:val="21"/>
      <w:lang w:val="en-US" w:eastAsia="zh-CN" w:bidi="ar-SA"/>
    </w:rPr>
  </w:style>
  <w:style w:type="paragraph" w:customStyle="1" w:styleId="136">
    <w:name w:val="附录五级无标题条"/>
    <w:basedOn w:val="133"/>
    <w:next w:val="59"/>
    <w:uiPriority w:val="0"/>
    <w:pPr>
      <w:outlineLvl w:val="6"/>
    </w:pPr>
  </w:style>
  <w:style w:type="paragraph" w:customStyle="1" w:styleId="137">
    <w:name w:val="附录性质"/>
    <w:basedOn w:val="1"/>
    <w:uiPriority w:val="0"/>
    <w:pPr>
      <w:widowControl/>
      <w:jc w:val="center"/>
    </w:pPr>
    <w:rPr>
      <w:rFonts w:ascii="黑体" w:hAnsi="宋体" w:eastAsia="黑体" w:cs="宋体"/>
      <w:kern w:val="0"/>
      <w:sz w:val="24"/>
      <w:szCs w:val="24"/>
    </w:rPr>
  </w:style>
  <w:style w:type="paragraph" w:customStyle="1" w:styleId="138">
    <w:name w:val="附录一级无标题条"/>
    <w:basedOn w:val="90"/>
    <w:next w:val="59"/>
    <w:uiPriority w:val="0"/>
    <w:pPr>
      <w:autoSpaceDN w:val="0"/>
      <w:outlineLvl w:val="2"/>
    </w:pPr>
    <w:rPr>
      <w:rFonts w:ascii="宋体" w:hAnsi="宋体" w:eastAsia="宋体"/>
    </w:rPr>
  </w:style>
  <w:style w:type="character" w:customStyle="1" w:styleId="139">
    <w:name w:val="个人答复风格"/>
    <w:uiPriority w:val="0"/>
    <w:rPr>
      <w:rFonts w:ascii="Arial" w:hAnsi="Arial" w:eastAsia="宋体" w:cs="Arial"/>
      <w:color w:val="auto"/>
      <w:spacing w:val="0"/>
      <w:sz w:val="20"/>
    </w:rPr>
  </w:style>
  <w:style w:type="character" w:customStyle="1" w:styleId="140">
    <w:name w:val="个人撰写风格"/>
    <w:uiPriority w:val="0"/>
    <w:rPr>
      <w:rFonts w:ascii="Arial" w:hAnsi="Arial" w:eastAsia="宋体" w:cs="Arial"/>
      <w:color w:val="auto"/>
      <w:spacing w:val="0"/>
      <w:sz w:val="20"/>
    </w:rPr>
  </w:style>
  <w:style w:type="paragraph" w:customStyle="1" w:styleId="141">
    <w:name w:val="脚注后续"/>
    <w:uiPriority w:val="0"/>
    <w:pPr>
      <w:ind w:left="350" w:leftChars="350"/>
      <w:jc w:val="both"/>
    </w:pPr>
    <w:rPr>
      <w:rFonts w:ascii="宋体" w:hAnsi="Times New Roman" w:eastAsia="宋体" w:cs="Times New Roman"/>
      <w:sz w:val="18"/>
      <w:lang w:val="en-US" w:eastAsia="zh-CN" w:bidi="ar-SA"/>
    </w:rPr>
  </w:style>
  <w:style w:type="paragraph" w:customStyle="1" w:styleId="142">
    <w:name w:val="列项——"/>
    <w:uiPriority w:val="0"/>
    <w:pPr>
      <w:widowControl w:val="0"/>
      <w:numPr>
        <w:ilvl w:val="0"/>
        <w:numId w:val="19"/>
      </w:numPr>
      <w:jc w:val="both"/>
    </w:pPr>
    <w:rPr>
      <w:rFonts w:ascii="宋体" w:hAnsi="宋体" w:eastAsia="宋体" w:cs="Times New Roman"/>
      <w:sz w:val="21"/>
      <w:lang w:val="en-US" w:eastAsia="zh-CN" w:bidi="ar-SA"/>
    </w:rPr>
  </w:style>
  <w:style w:type="paragraph" w:customStyle="1" w:styleId="143">
    <w:name w:val="列项·"/>
    <w:basedOn w:val="59"/>
    <w:uiPriority w:val="0"/>
    <w:pPr>
      <w:tabs>
        <w:tab w:val="left" w:pos="840"/>
      </w:tabs>
    </w:pPr>
  </w:style>
  <w:style w:type="paragraph" w:customStyle="1" w:styleId="144">
    <w:name w:val="目次、索引正文"/>
    <w:uiPriority w:val="0"/>
    <w:pPr>
      <w:spacing w:line="320" w:lineRule="exact"/>
      <w:jc w:val="both"/>
    </w:pPr>
    <w:rPr>
      <w:rFonts w:ascii="宋体" w:hAnsi="Times New Roman" w:eastAsia="宋体" w:cs="Times New Roman"/>
      <w:sz w:val="21"/>
      <w:lang w:val="en-US" w:eastAsia="zh-CN" w:bidi="ar-SA"/>
    </w:rPr>
  </w:style>
  <w:style w:type="paragraph" w:customStyle="1" w:styleId="145">
    <w:name w:val="目录 21"/>
    <w:basedOn w:val="1"/>
    <w:next w:val="1"/>
    <w:autoRedefine/>
    <w:semiHidden/>
    <w:uiPriority w:val="0"/>
    <w:pPr>
      <w:widowControl/>
      <w:jc w:val="left"/>
    </w:pPr>
    <w:rPr>
      <w:rFonts w:ascii="宋体" w:hAnsi="宋体" w:cs="宋体"/>
      <w:bCs/>
      <w:iCs/>
      <w:kern w:val="0"/>
      <w:sz w:val="24"/>
      <w:szCs w:val="24"/>
    </w:rPr>
  </w:style>
  <w:style w:type="paragraph" w:customStyle="1" w:styleId="146">
    <w:name w:val="目录 31"/>
    <w:basedOn w:val="1"/>
    <w:next w:val="1"/>
    <w:autoRedefine/>
    <w:semiHidden/>
    <w:uiPriority w:val="0"/>
    <w:pPr>
      <w:widowControl/>
      <w:jc w:val="left"/>
    </w:pPr>
    <w:rPr>
      <w:rFonts w:ascii="宋体" w:hAnsi="宋体" w:cs="宋体"/>
      <w:iCs/>
      <w:kern w:val="0"/>
      <w:sz w:val="24"/>
      <w:szCs w:val="24"/>
    </w:rPr>
  </w:style>
  <w:style w:type="paragraph" w:customStyle="1" w:styleId="147">
    <w:name w:val="目录 41"/>
    <w:basedOn w:val="1"/>
    <w:next w:val="1"/>
    <w:autoRedefine/>
    <w:semiHidden/>
    <w:uiPriority w:val="0"/>
    <w:pPr>
      <w:widowControl/>
      <w:jc w:val="left"/>
    </w:pPr>
    <w:rPr>
      <w:rFonts w:ascii="宋体" w:hAnsi="宋体" w:cs="宋体"/>
      <w:kern w:val="0"/>
      <w:sz w:val="24"/>
      <w:szCs w:val="24"/>
    </w:rPr>
  </w:style>
  <w:style w:type="paragraph" w:customStyle="1" w:styleId="148">
    <w:name w:val="目录 51"/>
    <w:basedOn w:val="1"/>
    <w:next w:val="1"/>
    <w:autoRedefine/>
    <w:semiHidden/>
    <w:uiPriority w:val="0"/>
    <w:pPr>
      <w:widowControl/>
      <w:jc w:val="left"/>
    </w:pPr>
    <w:rPr>
      <w:rFonts w:ascii="宋体" w:hAnsi="宋体" w:cs="宋体"/>
      <w:kern w:val="0"/>
      <w:sz w:val="24"/>
      <w:szCs w:val="24"/>
    </w:rPr>
  </w:style>
  <w:style w:type="paragraph" w:customStyle="1" w:styleId="149">
    <w:name w:val="目录 61"/>
    <w:basedOn w:val="1"/>
    <w:next w:val="1"/>
    <w:autoRedefine/>
    <w:semiHidden/>
    <w:uiPriority w:val="0"/>
    <w:pPr>
      <w:widowControl/>
      <w:jc w:val="left"/>
    </w:pPr>
    <w:rPr>
      <w:rFonts w:ascii="宋体" w:hAnsi="宋体" w:cs="宋体"/>
      <w:kern w:val="0"/>
      <w:sz w:val="24"/>
      <w:szCs w:val="24"/>
    </w:rPr>
  </w:style>
  <w:style w:type="paragraph" w:customStyle="1" w:styleId="150">
    <w:name w:val="目录 71"/>
    <w:basedOn w:val="149"/>
    <w:autoRedefine/>
    <w:semiHidden/>
    <w:uiPriority w:val="0"/>
    <w:pPr>
      <w:ind w:left="1260"/>
    </w:pPr>
  </w:style>
  <w:style w:type="paragraph" w:customStyle="1" w:styleId="151">
    <w:name w:val="目录 81"/>
    <w:basedOn w:val="150"/>
    <w:autoRedefine/>
    <w:semiHidden/>
    <w:uiPriority w:val="0"/>
    <w:pPr>
      <w:ind w:left="1470"/>
    </w:pPr>
  </w:style>
  <w:style w:type="paragraph" w:customStyle="1" w:styleId="152">
    <w:name w:val="目录 91"/>
    <w:basedOn w:val="151"/>
    <w:autoRedefine/>
    <w:semiHidden/>
    <w:uiPriority w:val="0"/>
    <w:pPr>
      <w:ind w:left="1680"/>
    </w:pPr>
  </w:style>
  <w:style w:type="paragraph" w:customStyle="1" w:styleId="153">
    <w:name w:val="其他标准称谓"/>
    <w:uiPriority w:val="0"/>
    <w:pPr>
      <w:spacing w:line="0" w:lineRule="atLeast"/>
      <w:jc w:val="distribute"/>
    </w:pPr>
    <w:rPr>
      <w:rFonts w:ascii="黑体" w:hAnsi="宋体" w:eastAsia="黑体" w:cs="Times New Roman"/>
      <w:sz w:val="52"/>
      <w:lang w:val="en-US" w:eastAsia="zh-CN" w:bidi="ar-SA"/>
    </w:rPr>
  </w:style>
  <w:style w:type="paragraph" w:customStyle="1" w:styleId="154">
    <w:name w:val="其他发布部门"/>
    <w:basedOn w:val="122"/>
    <w:uiPriority w:val="0"/>
    <w:pPr>
      <w:framePr w:wrap="around"/>
      <w:spacing w:line="0" w:lineRule="atLeast"/>
    </w:pPr>
    <w:rPr>
      <w:rFonts w:ascii="黑体" w:eastAsia="黑体"/>
      <w:b w:val="0"/>
    </w:rPr>
  </w:style>
  <w:style w:type="paragraph" w:customStyle="1" w:styleId="155">
    <w:name w:val="前言标题"/>
    <w:next w:val="1"/>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6">
    <w:name w:val="三级无标题条"/>
    <w:basedOn w:val="1"/>
    <w:uiPriority w:val="0"/>
    <w:pPr>
      <w:widowControl/>
      <w:numPr>
        <w:ilvl w:val="4"/>
        <w:numId w:val="17"/>
      </w:numPr>
      <w:jc w:val="left"/>
    </w:pPr>
    <w:rPr>
      <w:rFonts w:ascii="宋体" w:hAnsi="宋体" w:cs="宋体"/>
      <w:kern w:val="0"/>
      <w:sz w:val="24"/>
      <w:szCs w:val="24"/>
    </w:rPr>
  </w:style>
  <w:style w:type="paragraph" w:customStyle="1" w:styleId="157">
    <w:name w:val="实施日期"/>
    <w:basedOn w:val="123"/>
    <w:uiPriority w:val="0"/>
    <w:pPr>
      <w:framePr w:hSpace="0" w:wrap="around" w:xAlign="right"/>
      <w:jc w:val="right"/>
    </w:pPr>
  </w:style>
  <w:style w:type="paragraph" w:customStyle="1" w:styleId="158">
    <w:name w:val="四级无标题条"/>
    <w:basedOn w:val="1"/>
    <w:uiPriority w:val="0"/>
    <w:pPr>
      <w:widowControl/>
      <w:numPr>
        <w:ilvl w:val="5"/>
        <w:numId w:val="17"/>
      </w:numPr>
      <w:jc w:val="left"/>
    </w:pPr>
    <w:rPr>
      <w:rFonts w:ascii="宋体" w:hAnsi="宋体" w:cs="宋体"/>
      <w:kern w:val="0"/>
      <w:sz w:val="24"/>
      <w:szCs w:val="24"/>
    </w:rPr>
  </w:style>
  <w:style w:type="paragraph" w:customStyle="1" w:styleId="159">
    <w:name w:val="文献分类号"/>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60">
    <w:name w:val="无标题条"/>
    <w:next w:val="59"/>
    <w:uiPriority w:val="0"/>
    <w:pPr>
      <w:jc w:val="both"/>
    </w:pPr>
    <w:rPr>
      <w:rFonts w:ascii="宋体" w:hAnsi="宋体" w:eastAsia="宋体" w:cs="Times New Roman"/>
      <w:sz w:val="21"/>
      <w:lang w:val="en-US" w:eastAsia="zh-CN" w:bidi="ar-SA"/>
    </w:rPr>
  </w:style>
  <w:style w:type="paragraph" w:customStyle="1" w:styleId="161">
    <w:name w:val="五级无标题条"/>
    <w:basedOn w:val="1"/>
    <w:uiPriority w:val="0"/>
    <w:pPr>
      <w:widowControl/>
      <w:numPr>
        <w:ilvl w:val="6"/>
        <w:numId w:val="17"/>
      </w:numPr>
      <w:jc w:val="left"/>
    </w:pPr>
    <w:rPr>
      <w:rFonts w:ascii="宋体" w:hAnsi="宋体" w:cs="宋体"/>
      <w:kern w:val="0"/>
      <w:sz w:val="24"/>
      <w:szCs w:val="24"/>
    </w:rPr>
  </w:style>
  <w:style w:type="paragraph" w:customStyle="1" w:styleId="162">
    <w:name w:val="一级无标题条"/>
    <w:basedOn w:val="1"/>
    <w:uiPriority w:val="0"/>
    <w:pPr>
      <w:widowControl/>
      <w:numPr>
        <w:ilvl w:val="2"/>
        <w:numId w:val="17"/>
      </w:numPr>
      <w:spacing w:before="10" w:after="10"/>
      <w:jc w:val="left"/>
    </w:pPr>
    <w:rPr>
      <w:rFonts w:ascii="宋体" w:hAnsi="宋体" w:cs="宋体"/>
      <w:kern w:val="0"/>
      <w:sz w:val="24"/>
      <w:szCs w:val="24"/>
    </w:rPr>
  </w:style>
  <w:style w:type="paragraph" w:customStyle="1" w:styleId="163">
    <w:name w:val="注:后续"/>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4">
    <w:name w:val="注×:后续"/>
    <w:basedOn w:val="163"/>
    <w:uiPriority w:val="0"/>
    <w:pPr>
      <w:ind w:left="1406" w:leftChars="0" w:hanging="499" w:firstLineChars="0"/>
    </w:pPr>
  </w:style>
  <w:style w:type="paragraph" w:customStyle="1" w:styleId="165">
    <w:name w:val="标准文件_一级无标题"/>
    <w:basedOn w:val="108"/>
    <w:qFormat/>
    <w:uiPriority w:val="0"/>
    <w:pPr>
      <w:spacing w:before="0" w:beforeLines="0" w:after="0" w:afterLines="0"/>
      <w:outlineLvl w:val="9"/>
    </w:pPr>
    <w:rPr>
      <w:rFonts w:ascii="宋体" w:eastAsia="宋体"/>
    </w:rPr>
  </w:style>
  <w:style w:type="paragraph" w:customStyle="1" w:styleId="166">
    <w:name w:val="标准文件_五级无标题"/>
    <w:basedOn w:val="106"/>
    <w:qFormat/>
    <w:uiPriority w:val="0"/>
    <w:pPr>
      <w:spacing w:before="0" w:beforeLines="0" w:after="0" w:afterLines="0"/>
      <w:outlineLvl w:val="9"/>
    </w:pPr>
    <w:rPr>
      <w:rFonts w:ascii="宋体" w:eastAsia="宋体"/>
    </w:rPr>
  </w:style>
  <w:style w:type="paragraph" w:customStyle="1" w:styleId="167">
    <w:name w:val="标准文件_三级无标题"/>
    <w:basedOn w:val="97"/>
    <w:qFormat/>
    <w:uiPriority w:val="0"/>
    <w:pPr>
      <w:spacing w:before="0" w:beforeLines="0" w:after="0" w:afterLines="0"/>
      <w:outlineLvl w:val="9"/>
    </w:pPr>
    <w:rPr>
      <w:rFonts w:ascii="宋体" w:eastAsia="宋体"/>
    </w:rPr>
  </w:style>
  <w:style w:type="paragraph" w:customStyle="1" w:styleId="168">
    <w:name w:val="标准文件_二级无标题"/>
    <w:basedOn w:val="68"/>
    <w:qFormat/>
    <w:uiPriority w:val="0"/>
    <w:pPr>
      <w:spacing w:before="0" w:beforeLines="0" w:after="0" w:afterLines="0"/>
      <w:outlineLvl w:val="9"/>
    </w:pPr>
    <w:rPr>
      <w:rFonts w:ascii="宋体" w:eastAsia="宋体"/>
    </w:rPr>
  </w:style>
  <w:style w:type="paragraph" w:customStyle="1" w:styleId="169">
    <w:name w:val="标准_四级无标题"/>
    <w:basedOn w:val="101"/>
    <w:next w:val="59"/>
    <w:qFormat/>
    <w:uiPriority w:val="0"/>
    <w:rPr>
      <w:rFonts w:eastAsia="宋体"/>
    </w:rPr>
  </w:style>
  <w:style w:type="paragraph" w:customStyle="1" w:styleId="170">
    <w:name w:val="标准文件_四级无标题"/>
    <w:basedOn w:val="101"/>
    <w:qFormat/>
    <w:uiPriority w:val="0"/>
    <w:pPr>
      <w:spacing w:before="0" w:beforeLines="0" w:after="0" w:afterLines="0"/>
      <w:outlineLvl w:val="9"/>
    </w:pPr>
    <w:rPr>
      <w:rFonts w:ascii="宋体" w:hAnsi="黑体" w:eastAsia="宋体"/>
      <w:szCs w:val="52"/>
    </w:rPr>
  </w:style>
  <w:style w:type="paragraph" w:customStyle="1" w:styleId="171">
    <w:name w:val="标准文件_大写罗马数字编号列项"/>
    <w:basedOn w:val="59"/>
    <w:uiPriority w:val="0"/>
    <w:pPr>
      <w:numPr>
        <w:ilvl w:val="0"/>
        <w:numId w:val="20"/>
      </w:numPr>
      <w:ind w:firstLine="0" w:firstLineChars="0"/>
    </w:pPr>
    <w:rPr>
      <w:rFonts w:ascii="Times New Roman" w:cs="Arial"/>
      <w:szCs w:val="28"/>
    </w:rPr>
  </w:style>
  <w:style w:type="paragraph" w:customStyle="1" w:styleId="172">
    <w:name w:val="标准文件_小写罗马数字编号列项"/>
    <w:basedOn w:val="59"/>
    <w:uiPriority w:val="0"/>
    <w:pPr>
      <w:numPr>
        <w:ilvl w:val="0"/>
        <w:numId w:val="21"/>
      </w:numPr>
      <w:ind w:firstLine="0" w:firstLineChars="0"/>
    </w:pPr>
    <w:rPr>
      <w:rFonts w:cs="Arial"/>
      <w:szCs w:val="28"/>
    </w:rPr>
  </w:style>
  <w:style w:type="paragraph" w:customStyle="1" w:styleId="173">
    <w:name w:val="标准文件_附录标题"/>
    <w:basedOn w:val="79"/>
    <w:qFormat/>
    <w:uiPriority w:val="0"/>
    <w:pPr>
      <w:numPr>
        <w:numId w:val="0"/>
      </w:numPr>
      <w:spacing w:after="280"/>
      <w:outlineLvl w:val="9"/>
    </w:pPr>
  </w:style>
  <w:style w:type="paragraph" w:customStyle="1" w:styleId="174">
    <w:name w:val="标准文件_二级项"/>
    <w:uiPriority w:val="0"/>
    <w:rPr>
      <w:rFonts w:ascii="宋体" w:hAnsi="Times New Roman" w:eastAsia="宋体" w:cs="Times New Roman"/>
      <w:sz w:val="21"/>
      <w:lang w:val="en-US" w:eastAsia="zh-CN" w:bidi="ar-SA"/>
    </w:rPr>
  </w:style>
  <w:style w:type="paragraph" w:customStyle="1" w:styleId="175">
    <w:name w:val="标准文件_三级项"/>
    <w:basedOn w:val="1"/>
    <w:uiPriority w:val="0"/>
    <w:pPr>
      <w:widowControl/>
      <w:numPr>
        <w:ilvl w:val="2"/>
        <w:numId w:val="18"/>
      </w:numPr>
      <w:spacing w:line="536870612" w:lineRule="auto"/>
      <w:jc w:val="left"/>
    </w:pPr>
    <w:rPr>
      <w:rFonts w:ascii="Times New Roman" w:hAnsi="Times New Roman" w:cs="宋体"/>
      <w:kern w:val="0"/>
      <w:sz w:val="24"/>
      <w:szCs w:val="24"/>
    </w:rPr>
  </w:style>
  <w:style w:type="paragraph" w:customStyle="1" w:styleId="176">
    <w:name w:val="图表脚注说明"/>
    <w:basedOn w:val="1"/>
    <w:next w:val="59"/>
    <w:uiPriority w:val="0"/>
    <w:pPr>
      <w:widowControl/>
      <w:numPr>
        <w:ilvl w:val="0"/>
        <w:numId w:val="22"/>
      </w:numPr>
      <w:ind w:left="783"/>
      <w:jc w:val="left"/>
    </w:pPr>
    <w:rPr>
      <w:rFonts w:ascii="宋体" w:hAnsi="Times New Roman" w:cs="宋体"/>
      <w:kern w:val="0"/>
      <w:sz w:val="18"/>
      <w:szCs w:val="18"/>
    </w:rPr>
  </w:style>
  <w:style w:type="paragraph" w:customStyle="1" w:styleId="177">
    <w:name w:val="标准文件_字母编号列项（一级）"/>
    <w:uiPriority w:val="0"/>
    <w:pPr>
      <w:numPr>
        <w:ilvl w:val="0"/>
        <w:numId w:val="10"/>
      </w:numPr>
      <w:jc w:val="both"/>
    </w:pPr>
    <w:rPr>
      <w:rFonts w:ascii="宋体" w:hAnsi="Times New Roman" w:eastAsia="宋体" w:cs="Times New Roman"/>
      <w:sz w:val="21"/>
      <w:lang w:val="en-US" w:eastAsia="zh-CN" w:bidi="ar-SA"/>
    </w:rPr>
  </w:style>
  <w:style w:type="paragraph" w:customStyle="1" w:styleId="178">
    <w:name w:val="标准文件_索引字母"/>
    <w:next w:val="59"/>
    <w:qFormat/>
    <w:uiPriority w:val="0"/>
    <w:pPr>
      <w:jc w:val="center"/>
    </w:pPr>
    <w:rPr>
      <w:rFonts w:ascii="宋体" w:hAnsi="宋体" w:eastAsia="Times New Roman" w:cs="Times New Roman"/>
      <w:b/>
      <w:kern w:val="2"/>
      <w:sz w:val="21"/>
      <w:lang w:val="en-US" w:eastAsia="zh-CN" w:bidi="ar-SA"/>
    </w:rPr>
  </w:style>
  <w:style w:type="paragraph" w:customStyle="1" w:styleId="179">
    <w:name w:val="标准文件_附录前"/>
    <w:next w:val="59"/>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80">
    <w:name w:val="标准文件_正文标准名称"/>
    <w:qFormat/>
    <w:uiPriority w:val="0"/>
    <w:pPr>
      <w:spacing w:after="640" w:line="400" w:lineRule="exact"/>
      <w:jc w:val="center"/>
    </w:pPr>
    <w:rPr>
      <w:rFonts w:ascii="黑体" w:hAnsi="黑体" w:eastAsia="黑体" w:cs="Times New Roman"/>
      <w:kern w:val="2"/>
      <w:sz w:val="32"/>
      <w:szCs w:val="32"/>
      <w:lang w:val="en-US" w:eastAsia="zh-CN" w:bidi="ar-SA"/>
    </w:rPr>
  </w:style>
  <w:style w:type="paragraph" w:customStyle="1" w:styleId="181">
    <w:name w:val="标准文件_表格"/>
    <w:basedOn w:val="59"/>
    <w:qFormat/>
    <w:uiPriority w:val="0"/>
    <w:pPr>
      <w:ind w:firstLine="0" w:firstLineChars="0"/>
      <w:jc w:val="center"/>
    </w:pPr>
    <w:rPr>
      <w:sz w:val="18"/>
    </w:rPr>
  </w:style>
  <w:style w:type="paragraph" w:customStyle="1" w:styleId="182">
    <w:name w:val="标准文件_注："/>
    <w:next w:val="59"/>
    <w:uiPriority w:val="0"/>
    <w:pPr>
      <w:widowControl w:val="0"/>
      <w:numPr>
        <w:ilvl w:val="0"/>
        <w:numId w:val="23"/>
      </w:numPr>
      <w:autoSpaceDE w:val="0"/>
      <w:autoSpaceDN w:val="0"/>
      <w:jc w:val="both"/>
    </w:pPr>
    <w:rPr>
      <w:rFonts w:ascii="宋体" w:hAnsi="Times New Roman" w:eastAsia="宋体" w:cs="Times New Roman"/>
      <w:sz w:val="18"/>
      <w:szCs w:val="18"/>
      <w:lang w:val="en-US" w:eastAsia="zh-CN" w:bidi="ar-SA"/>
    </w:rPr>
  </w:style>
  <w:style w:type="paragraph" w:customStyle="1" w:styleId="183">
    <w:name w:val="标准文件_注×："/>
    <w:uiPriority w:val="0"/>
    <w:pPr>
      <w:widowControl w:val="0"/>
      <w:numPr>
        <w:ilvl w:val="0"/>
        <w:numId w:val="24"/>
      </w:numPr>
      <w:autoSpaceDE w:val="0"/>
      <w:autoSpaceDN w:val="0"/>
      <w:jc w:val="both"/>
    </w:pPr>
    <w:rPr>
      <w:rFonts w:ascii="宋体" w:hAnsi="Times New Roman" w:eastAsia="宋体" w:cs="Times New Roman"/>
      <w:sz w:val="18"/>
      <w:szCs w:val="18"/>
      <w:lang w:val="en-US" w:eastAsia="zh-CN" w:bidi="ar-SA"/>
    </w:rPr>
  </w:style>
  <w:style w:type="paragraph" w:customStyle="1" w:styleId="184">
    <w:name w:val="标准文件_示例："/>
    <w:next w:val="185"/>
    <w:uiPriority w:val="0"/>
    <w:pPr>
      <w:widowControl w:val="0"/>
      <w:numPr>
        <w:ilvl w:val="0"/>
        <w:numId w:val="25"/>
      </w:numPr>
      <w:jc w:val="both"/>
    </w:pPr>
    <w:rPr>
      <w:rFonts w:ascii="宋体" w:hAnsi="Times New Roman" w:eastAsia="宋体" w:cs="Times New Roman"/>
      <w:sz w:val="18"/>
      <w:szCs w:val="18"/>
      <w:lang w:val="en-US" w:eastAsia="zh-CN" w:bidi="ar-SA"/>
    </w:rPr>
  </w:style>
  <w:style w:type="paragraph" w:customStyle="1" w:styleId="185">
    <w:name w:val="标准文件_示例内容"/>
    <w:basedOn w:val="59"/>
    <w:qFormat/>
    <w:uiPriority w:val="0"/>
    <w:pPr>
      <w:ind w:firstLine="420"/>
    </w:pPr>
    <w:rPr>
      <w:sz w:val="18"/>
    </w:rPr>
  </w:style>
  <w:style w:type="paragraph" w:customStyle="1" w:styleId="186">
    <w:name w:val="标准文件_示例×："/>
    <w:basedOn w:val="1"/>
    <w:next w:val="185"/>
    <w:qFormat/>
    <w:uiPriority w:val="0"/>
    <w:pPr>
      <w:widowControl/>
      <w:numPr>
        <w:ilvl w:val="0"/>
        <w:numId w:val="26"/>
      </w:numPr>
      <w:jc w:val="left"/>
    </w:pPr>
    <w:rPr>
      <w:rFonts w:ascii="宋体" w:hAnsi="Times New Roman" w:cs="宋体"/>
      <w:kern w:val="0"/>
      <w:sz w:val="18"/>
      <w:szCs w:val="18"/>
    </w:rPr>
  </w:style>
  <w:style w:type="character" w:customStyle="1" w:styleId="187">
    <w:name w:val="标准文件_段 Char"/>
    <w:link w:val="59"/>
    <w:uiPriority w:val="0"/>
    <w:rPr>
      <w:rFonts w:ascii="宋体" w:hAnsi="Times New Roman" w:eastAsia="宋体" w:cs="Times New Roman"/>
      <w:sz w:val="21"/>
    </w:rPr>
  </w:style>
  <w:style w:type="paragraph" w:customStyle="1" w:styleId="188">
    <w:name w:val="标准文件_表格续"/>
    <w:basedOn w:val="59"/>
    <w:next w:val="59"/>
    <w:qFormat/>
    <w:uiPriority w:val="0"/>
    <w:pPr>
      <w:jc w:val="center"/>
    </w:pPr>
    <w:rPr>
      <w:rFonts w:ascii="黑体" w:hAnsi="黑体" w:eastAsia="黑体"/>
    </w:rPr>
  </w:style>
  <w:style w:type="character" w:styleId="189">
    <w:name w:val="Placeholder Text"/>
    <w:basedOn w:val="30"/>
    <w:semiHidden/>
    <w:uiPriority w:val="99"/>
    <w:rPr>
      <w:color w:val="808080"/>
    </w:rPr>
  </w:style>
  <w:style w:type="paragraph" w:customStyle="1" w:styleId="190">
    <w:name w:val="标准文件_二级项2"/>
    <w:basedOn w:val="59"/>
    <w:qFormat/>
    <w:uiPriority w:val="0"/>
    <w:pPr>
      <w:numPr>
        <w:ilvl w:val="1"/>
        <w:numId w:val="18"/>
      </w:numPr>
      <w:ind w:left="1271" w:hanging="420" w:firstLineChars="0"/>
    </w:pPr>
  </w:style>
  <w:style w:type="paragraph" w:customStyle="1" w:styleId="191">
    <w:name w:val="标准文件_三级项2"/>
    <w:basedOn w:val="59"/>
    <w:qFormat/>
    <w:uiPriority w:val="0"/>
    <w:pPr>
      <w:numPr>
        <w:ilvl w:val="0"/>
        <w:numId w:val="27"/>
      </w:numPr>
      <w:spacing w:line="300" w:lineRule="exact"/>
      <w:ind w:left="1276" w:hanging="425" w:firstLineChars="0"/>
    </w:pPr>
    <w:rPr>
      <w:rFonts w:ascii="Times New Roman"/>
    </w:rPr>
  </w:style>
  <w:style w:type="paragraph" w:customStyle="1" w:styleId="192">
    <w:name w:val="标准文件_一级项2"/>
    <w:basedOn w:val="59"/>
    <w:qFormat/>
    <w:uiPriority w:val="0"/>
    <w:pPr>
      <w:numPr>
        <w:ilvl w:val="0"/>
        <w:numId w:val="28"/>
      </w:numPr>
      <w:spacing w:line="300" w:lineRule="exact"/>
      <w:ind w:left="1271" w:hanging="420" w:firstLineChars="0"/>
    </w:pPr>
    <w:rPr>
      <w:rFonts w:ascii="Times New Roman"/>
    </w:rPr>
  </w:style>
  <w:style w:type="paragraph" w:customStyle="1" w:styleId="193">
    <w:name w:val="标准文件_提示"/>
    <w:basedOn w:val="59"/>
    <w:next w:val="59"/>
    <w:qFormat/>
    <w:uiPriority w:val="0"/>
    <w:pPr>
      <w:ind w:firstLine="420"/>
    </w:pPr>
    <w:rPr>
      <w:rFonts w:ascii="黑体" w:eastAsia="黑体"/>
    </w:rPr>
  </w:style>
  <w:style w:type="character" w:customStyle="1" w:styleId="194">
    <w:name w:val="标准文件_来源"/>
    <w:basedOn w:val="30"/>
    <w:qFormat/>
    <w:uiPriority w:val="1"/>
    <w:rPr>
      <w:rFonts w:eastAsia="宋体"/>
      <w:sz w:val="21"/>
    </w:rPr>
  </w:style>
  <w:style w:type="paragraph" w:customStyle="1" w:styleId="195">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6">
    <w:name w:val="其他发布日期"/>
    <w:basedOn w:val="123"/>
    <w:uiPriority w:val="0"/>
    <w:pPr>
      <w:framePr w:w="3997" w:h="471" w:hRule="exact" w:hSpace="0" w:vSpace="181" w:wrap="around" w:vAnchor="page" w:hAnchor="page" w:x="1419" w:y="14097"/>
    </w:pPr>
  </w:style>
  <w:style w:type="paragraph" w:customStyle="1" w:styleId="197">
    <w:name w:val="其他实施日期"/>
    <w:basedOn w:val="157"/>
    <w:uiPriority w:val="0"/>
    <w:pPr>
      <w:framePr w:w="3997" w:h="471" w:hRule="exact" w:vSpace="181" w:wrap="around" w:vAnchor="page" w:hAnchor="page" w:x="7089" w:y="14097"/>
    </w:pPr>
  </w:style>
  <w:style w:type="paragraph" w:customStyle="1" w:styleId="198">
    <w:name w:val="标准文件_文件编号"/>
    <w:basedOn w:val="59"/>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9">
    <w:name w:val="标准文件_替换文件编号"/>
    <w:basedOn w:val="198"/>
    <w:qFormat/>
    <w:uiPriority w:val="0"/>
    <w:pPr>
      <w:framePr/>
      <w:spacing w:before="57"/>
    </w:pPr>
    <w:rPr>
      <w:sz w:val="21"/>
    </w:rPr>
  </w:style>
  <w:style w:type="paragraph" w:customStyle="1" w:styleId="200">
    <w:name w:val="标准文件_文件名称"/>
    <w:basedOn w:val="59"/>
    <w:next w:val="59"/>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201">
    <w:name w:val="标准文件_附录图标号"/>
    <w:basedOn w:val="59"/>
    <w:next w:val="59"/>
    <w:qFormat/>
    <w:uiPriority w:val="0"/>
    <w:pPr>
      <w:numPr>
        <w:ilvl w:val="0"/>
        <w:numId w:val="4"/>
      </w:numPr>
      <w:spacing w:line="14" w:lineRule="exact"/>
      <w:ind w:firstLine="0" w:firstLineChars="0"/>
      <w:jc w:val="center"/>
    </w:pPr>
    <w:rPr>
      <w:rFonts w:ascii="黑体" w:hAnsi="黑体" w:eastAsia="黑体"/>
      <w:vanish/>
      <w:sz w:val="2"/>
      <w:szCs w:val="21"/>
    </w:rPr>
  </w:style>
  <w:style w:type="paragraph" w:customStyle="1" w:styleId="202">
    <w:name w:val="标准文件_附录表标号"/>
    <w:basedOn w:val="59"/>
    <w:next w:val="59"/>
    <w:qFormat/>
    <w:uiPriority w:val="0"/>
    <w:pPr>
      <w:numPr>
        <w:ilvl w:val="0"/>
        <w:numId w:val="3"/>
      </w:numPr>
      <w:spacing w:line="14" w:lineRule="exact"/>
      <w:ind w:firstLine="0" w:firstLineChars="0"/>
      <w:jc w:val="center"/>
    </w:pPr>
    <w:rPr>
      <w:rFonts w:eastAsia="黑体"/>
      <w:vanish/>
      <w:sz w:val="2"/>
    </w:rPr>
  </w:style>
  <w:style w:type="paragraph" w:customStyle="1" w:styleId="203">
    <w:name w:val="标准文件_引言一级条标题"/>
    <w:basedOn w:val="59"/>
    <w:next w:val="59"/>
    <w:qFormat/>
    <w:uiPriority w:val="0"/>
    <w:pPr>
      <w:spacing w:before="50" w:beforeLines="50" w:after="50" w:afterLines="50"/>
      <w:ind w:firstLine="0" w:firstLineChars="0"/>
    </w:pPr>
    <w:rPr>
      <w:rFonts w:ascii="黑体" w:eastAsia="黑体"/>
    </w:rPr>
  </w:style>
  <w:style w:type="paragraph" w:customStyle="1" w:styleId="204">
    <w:name w:val="标准文件_引言二级条标题"/>
    <w:basedOn w:val="59"/>
    <w:next w:val="59"/>
    <w:qFormat/>
    <w:uiPriority w:val="0"/>
    <w:pPr>
      <w:spacing w:before="50" w:beforeLines="50" w:after="50" w:afterLines="50"/>
      <w:ind w:firstLine="0" w:firstLineChars="0"/>
    </w:pPr>
    <w:rPr>
      <w:rFonts w:ascii="黑体" w:eastAsia="黑体"/>
    </w:rPr>
  </w:style>
  <w:style w:type="paragraph" w:customStyle="1" w:styleId="205">
    <w:name w:val="标准文件_引言三级条标题"/>
    <w:basedOn w:val="59"/>
    <w:next w:val="59"/>
    <w:qFormat/>
    <w:uiPriority w:val="0"/>
    <w:pPr>
      <w:spacing w:before="50" w:beforeLines="50" w:after="50" w:afterLines="50"/>
      <w:ind w:firstLine="0" w:firstLineChars="0"/>
    </w:pPr>
    <w:rPr>
      <w:rFonts w:ascii="黑体" w:eastAsia="黑体"/>
    </w:rPr>
  </w:style>
  <w:style w:type="paragraph" w:customStyle="1" w:styleId="206">
    <w:name w:val="标准文件_引言四级条标题"/>
    <w:basedOn w:val="59"/>
    <w:next w:val="59"/>
    <w:qFormat/>
    <w:uiPriority w:val="0"/>
    <w:pPr>
      <w:spacing w:before="50" w:beforeLines="50" w:after="50" w:afterLines="50"/>
      <w:ind w:firstLine="0" w:firstLineChars="0"/>
    </w:pPr>
    <w:rPr>
      <w:rFonts w:ascii="黑体" w:eastAsia="黑体"/>
    </w:rPr>
  </w:style>
  <w:style w:type="paragraph" w:customStyle="1" w:styleId="207">
    <w:name w:val="标准文件_引言五级条标题"/>
    <w:basedOn w:val="59"/>
    <w:next w:val="59"/>
    <w:qFormat/>
    <w:uiPriority w:val="0"/>
    <w:pPr>
      <w:spacing w:before="50" w:beforeLines="50" w:after="50" w:afterLines="50"/>
      <w:ind w:firstLine="0" w:firstLineChars="0"/>
    </w:pPr>
    <w:rPr>
      <w:rFonts w:ascii="黑体" w:eastAsia="黑体"/>
    </w:rPr>
  </w:style>
  <w:style w:type="paragraph" w:customStyle="1" w:styleId="208">
    <w:name w:val="标准文件_注后"/>
    <w:basedOn w:val="59"/>
    <w:qFormat/>
    <w:uiPriority w:val="0"/>
    <w:pPr>
      <w:ind w:left="811" w:firstLine="0" w:firstLineChars="0"/>
    </w:pPr>
    <w:rPr>
      <w:sz w:val="18"/>
    </w:rPr>
  </w:style>
  <w:style w:type="paragraph" w:customStyle="1" w:styleId="209">
    <w:name w:val="标准文件_注X后"/>
    <w:basedOn w:val="59"/>
    <w:qFormat/>
    <w:uiPriority w:val="0"/>
    <w:pPr>
      <w:ind w:left="811" w:firstLine="0" w:firstLineChars="0"/>
    </w:pPr>
    <w:rPr>
      <w:sz w:val="18"/>
    </w:rPr>
  </w:style>
  <w:style w:type="paragraph" w:customStyle="1" w:styleId="210">
    <w:name w:val="标准文件_示例后"/>
    <w:basedOn w:val="59"/>
    <w:qFormat/>
    <w:uiPriority w:val="0"/>
    <w:pPr>
      <w:ind w:left="964" w:firstLine="0" w:firstLineChars="0"/>
    </w:pPr>
    <w:rPr>
      <w:sz w:val="18"/>
    </w:rPr>
  </w:style>
  <w:style w:type="paragraph" w:customStyle="1" w:styleId="211">
    <w:name w:val="标准文件_示例X后"/>
    <w:basedOn w:val="59"/>
    <w:link w:val="212"/>
    <w:qFormat/>
    <w:uiPriority w:val="0"/>
    <w:pPr>
      <w:ind w:left="1049" w:firstLine="0" w:firstLineChars="0"/>
    </w:pPr>
    <w:rPr>
      <w:sz w:val="18"/>
    </w:rPr>
  </w:style>
  <w:style w:type="character" w:customStyle="1" w:styleId="212">
    <w:name w:val="标准文件_示例X后 字符"/>
    <w:basedOn w:val="187"/>
    <w:link w:val="211"/>
    <w:uiPriority w:val="0"/>
    <w:rPr>
      <w:rFonts w:ascii="宋体" w:hAnsi="Times New Roman" w:eastAsia="宋体" w:cs="Times New Roman"/>
      <w:sz w:val="18"/>
    </w:rPr>
  </w:style>
  <w:style w:type="paragraph" w:customStyle="1" w:styleId="213">
    <w:name w:val="标准文件_索引项"/>
    <w:basedOn w:val="59"/>
    <w:next w:val="59"/>
    <w:qFormat/>
    <w:uiPriority w:val="0"/>
    <w:pPr>
      <w:tabs>
        <w:tab w:val="right" w:leader="dot" w:pos="9356"/>
      </w:tabs>
      <w:ind w:left="210" w:hanging="210" w:firstLineChars="0"/>
      <w:jc w:val="left"/>
    </w:pPr>
  </w:style>
  <w:style w:type="paragraph" w:customStyle="1" w:styleId="214">
    <w:name w:val="标准文件_附录一级无标题"/>
    <w:basedOn w:val="81"/>
    <w:qFormat/>
    <w:uiPriority w:val="0"/>
    <w:pPr>
      <w:spacing w:before="0" w:beforeLines="0" w:after="0" w:afterLines="0" w:line="276" w:lineRule="auto"/>
      <w:outlineLvl w:val="9"/>
    </w:pPr>
    <w:rPr>
      <w:rFonts w:ascii="宋体" w:eastAsia="宋体"/>
    </w:rPr>
  </w:style>
  <w:style w:type="paragraph" w:customStyle="1" w:styleId="215">
    <w:name w:val="标准文件_附录二级无标题"/>
    <w:basedOn w:val="82"/>
    <w:uiPriority w:val="0"/>
    <w:pPr>
      <w:spacing w:before="0" w:beforeLines="0" w:after="0" w:afterLines="0" w:line="276" w:lineRule="auto"/>
      <w:outlineLvl w:val="9"/>
    </w:pPr>
    <w:rPr>
      <w:rFonts w:ascii="宋体" w:eastAsia="宋体"/>
    </w:rPr>
  </w:style>
  <w:style w:type="paragraph" w:customStyle="1" w:styleId="216">
    <w:name w:val="标准文件_附录三级无标题"/>
    <w:basedOn w:val="84"/>
    <w:qFormat/>
    <w:uiPriority w:val="0"/>
    <w:pPr>
      <w:spacing w:before="0" w:beforeLines="0" w:after="0" w:afterLines="0" w:line="276" w:lineRule="auto"/>
      <w:outlineLvl w:val="9"/>
    </w:pPr>
    <w:rPr>
      <w:rFonts w:ascii="宋体" w:eastAsia="宋体"/>
    </w:rPr>
  </w:style>
  <w:style w:type="paragraph" w:customStyle="1" w:styleId="217">
    <w:name w:val="标准文件_附录四级无标题"/>
    <w:basedOn w:val="85"/>
    <w:qFormat/>
    <w:uiPriority w:val="0"/>
    <w:pPr>
      <w:spacing w:before="0" w:beforeLines="0" w:after="0" w:afterLines="0" w:line="276" w:lineRule="auto"/>
      <w:outlineLvl w:val="9"/>
    </w:pPr>
    <w:rPr>
      <w:rFonts w:ascii="宋体" w:eastAsia="宋体"/>
    </w:rPr>
  </w:style>
  <w:style w:type="paragraph" w:customStyle="1" w:styleId="218">
    <w:name w:val="标准文件_附录五级无标题"/>
    <w:basedOn w:val="87"/>
    <w:qFormat/>
    <w:uiPriority w:val="0"/>
    <w:pPr>
      <w:spacing w:before="0" w:beforeLines="0" w:after="0" w:afterLines="0" w:line="276" w:lineRule="auto"/>
      <w:outlineLvl w:val="9"/>
    </w:pPr>
    <w:rPr>
      <w:rFonts w:ascii="宋体" w:eastAsia="宋体"/>
    </w:rPr>
  </w:style>
  <w:style w:type="paragraph" w:customStyle="1" w:styleId="219">
    <w:name w:val="标准文件_引言一级无标题"/>
    <w:basedOn w:val="203"/>
    <w:next w:val="59"/>
    <w:qFormat/>
    <w:uiPriority w:val="0"/>
    <w:pPr>
      <w:spacing w:before="0" w:beforeLines="0" w:after="0" w:afterLines="0" w:line="276" w:lineRule="auto"/>
    </w:pPr>
    <w:rPr>
      <w:rFonts w:ascii="宋体" w:eastAsia="宋体"/>
    </w:rPr>
  </w:style>
  <w:style w:type="paragraph" w:customStyle="1" w:styleId="220">
    <w:name w:val="标准文件_引言二级无标题"/>
    <w:basedOn w:val="204"/>
    <w:next w:val="59"/>
    <w:qFormat/>
    <w:uiPriority w:val="0"/>
    <w:pPr>
      <w:spacing w:before="0" w:beforeLines="0" w:after="0" w:afterLines="0" w:line="276" w:lineRule="auto"/>
    </w:pPr>
    <w:rPr>
      <w:rFonts w:ascii="宋体" w:eastAsia="宋体"/>
    </w:rPr>
  </w:style>
  <w:style w:type="paragraph" w:customStyle="1" w:styleId="221">
    <w:name w:val="标准文件_引言三级无标题"/>
    <w:basedOn w:val="205"/>
    <w:next w:val="59"/>
    <w:qFormat/>
    <w:uiPriority w:val="0"/>
    <w:pPr>
      <w:spacing w:before="0" w:beforeLines="0" w:after="0" w:afterLines="0" w:line="276" w:lineRule="auto"/>
    </w:pPr>
    <w:rPr>
      <w:rFonts w:ascii="宋体" w:eastAsia="宋体"/>
    </w:rPr>
  </w:style>
  <w:style w:type="paragraph" w:customStyle="1" w:styleId="222">
    <w:name w:val="标准文件_引言四级无标题"/>
    <w:basedOn w:val="206"/>
    <w:next w:val="59"/>
    <w:qFormat/>
    <w:uiPriority w:val="0"/>
    <w:pPr>
      <w:spacing w:before="0" w:beforeLines="0" w:after="0" w:afterLines="0" w:line="276" w:lineRule="auto"/>
    </w:pPr>
    <w:rPr>
      <w:rFonts w:ascii="宋体" w:eastAsia="宋体"/>
    </w:rPr>
  </w:style>
  <w:style w:type="paragraph" w:customStyle="1" w:styleId="223">
    <w:name w:val="标准文件_引言五级无标题"/>
    <w:basedOn w:val="207"/>
    <w:next w:val="59"/>
    <w:qFormat/>
    <w:uiPriority w:val="0"/>
    <w:pPr>
      <w:spacing w:before="0" w:beforeLines="0" w:after="0" w:afterLines="0" w:line="276" w:lineRule="auto"/>
    </w:pPr>
    <w:rPr>
      <w:rFonts w:ascii="宋体" w:eastAsia="宋体"/>
    </w:rPr>
  </w:style>
  <w:style w:type="paragraph" w:customStyle="1" w:styleId="224">
    <w:name w:val="标准文件_索引标题"/>
    <w:basedOn w:val="66"/>
    <w:next w:val="59"/>
    <w:qFormat/>
    <w:uiPriority w:val="0"/>
    <w:rPr>
      <w:rFonts w:hAnsi="黑体"/>
    </w:rPr>
  </w:style>
  <w:style w:type="paragraph" w:customStyle="1" w:styleId="225">
    <w:name w:val="标准文件_脚注内容"/>
    <w:basedOn w:val="59"/>
    <w:qFormat/>
    <w:uiPriority w:val="0"/>
    <w:pPr>
      <w:ind w:left="400" w:leftChars="200" w:hanging="200" w:hangingChars="200"/>
    </w:pPr>
    <w:rPr>
      <w:sz w:val="15"/>
    </w:rPr>
  </w:style>
  <w:style w:type="paragraph" w:customStyle="1" w:styleId="226">
    <w:name w:val="标准文件_术语条一"/>
    <w:basedOn w:val="165"/>
    <w:next w:val="59"/>
    <w:qFormat/>
    <w:uiPriority w:val="0"/>
  </w:style>
  <w:style w:type="paragraph" w:customStyle="1" w:styleId="227">
    <w:name w:val="标准文件_术语条二"/>
    <w:basedOn w:val="168"/>
    <w:next w:val="59"/>
    <w:qFormat/>
    <w:uiPriority w:val="0"/>
  </w:style>
  <w:style w:type="paragraph" w:customStyle="1" w:styleId="228">
    <w:name w:val="标准文件_术语条三"/>
    <w:basedOn w:val="167"/>
    <w:next w:val="59"/>
    <w:qFormat/>
    <w:uiPriority w:val="0"/>
  </w:style>
  <w:style w:type="paragraph" w:customStyle="1" w:styleId="229">
    <w:name w:val="标准文件_术语条四"/>
    <w:basedOn w:val="170"/>
    <w:next w:val="59"/>
    <w:qFormat/>
    <w:uiPriority w:val="0"/>
  </w:style>
  <w:style w:type="paragraph" w:customStyle="1" w:styleId="230">
    <w:name w:val="标准文件_术语条五"/>
    <w:basedOn w:val="166"/>
    <w:next w:val="59"/>
    <w:qFormat/>
    <w:uiPriority w:val="0"/>
  </w:style>
  <w:style w:type="paragraph" w:customStyle="1" w:styleId="231">
    <w:name w:val="Defaul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2">
    <w:name w:val="发布"/>
    <w:basedOn w:val="30"/>
    <w:uiPriority w:val="0"/>
    <w:rPr>
      <w:rFonts w:ascii="黑体" w:eastAsia="黑体"/>
      <w:spacing w:val="85"/>
      <w:w w:val="100"/>
      <w:position w:val="3"/>
      <w:sz w:val="28"/>
      <w:szCs w:val="28"/>
    </w:rPr>
  </w:style>
  <w:style w:type="paragraph" w:styleId="233">
    <w:name w:val="List Paragraph"/>
    <w:basedOn w:val="1"/>
    <w:qFormat/>
    <w:uiPriority w:val="34"/>
    <w:pPr>
      <w:widowControl/>
      <w:ind w:left="720"/>
      <w:contextualSpacing/>
      <w:jc w:val="left"/>
    </w:pPr>
    <w:rPr>
      <w:rFonts w:ascii="宋体" w:hAnsi="宋体" w:cs="宋体"/>
      <w:kern w:val="0"/>
      <w:sz w:val="24"/>
      <w:szCs w:val="24"/>
    </w:rPr>
  </w:style>
  <w:style w:type="character" w:customStyle="1" w:styleId="234">
    <w:name w:val="批注文字 Char"/>
    <w:basedOn w:val="30"/>
    <w:link w:val="13"/>
    <w:semiHidden/>
    <w:uiPriority w:val="99"/>
    <w:rPr>
      <w:rFonts w:ascii="宋体" w:hAnsi="宋体" w:eastAsia="宋体" w:cs="宋体"/>
      <w:sz w:val="24"/>
      <w:szCs w:val="24"/>
    </w:rPr>
  </w:style>
  <w:style w:type="paragraph" w:customStyle="1" w:styleId="235">
    <w:name w:val="正文段落"/>
    <w:link w:val="236"/>
    <w:qFormat/>
    <w:uiPriority w:val="0"/>
    <w:pPr>
      <w:autoSpaceDE w:val="0"/>
      <w:autoSpaceDN w:val="0"/>
      <w:ind w:firstLine="200" w:firstLineChars="200"/>
      <w:jc w:val="both"/>
    </w:pPr>
    <w:rPr>
      <w:rFonts w:ascii="宋体" w:hAnsi="宋体" w:eastAsia="宋体" w:cs="Times New Roman"/>
      <w:sz w:val="21"/>
      <w:lang w:val="en-US" w:eastAsia="zh-CN" w:bidi="ar-SA"/>
    </w:rPr>
  </w:style>
  <w:style w:type="character" w:customStyle="1" w:styleId="236">
    <w:name w:val="正文段落 Char"/>
    <w:link w:val="235"/>
    <w:qFormat/>
    <w:uiPriority w:val="0"/>
    <w:rPr>
      <w:rFonts w:ascii="宋体" w:hAnsi="宋体" w:eastAsia="宋体" w:cs="Times New Roman"/>
      <w:sz w:val="21"/>
    </w:rPr>
  </w:style>
  <w:style w:type="paragraph" w:customStyle="1" w:styleId="237">
    <w:name w:val="标准_条标题1级"/>
    <w:basedOn w:val="238"/>
    <w:next w:val="1"/>
    <w:qFormat/>
    <w:uiPriority w:val="0"/>
    <w:pPr>
      <w:spacing w:before="50" w:beforeLines="50" w:after="50" w:afterLines="50"/>
      <w:outlineLvl w:val="1"/>
    </w:pPr>
    <w:rPr>
      <w:color w:val="000000"/>
      <w:lang w:eastAsia="en-US"/>
    </w:rPr>
  </w:style>
  <w:style w:type="paragraph" w:customStyle="1" w:styleId="238">
    <w:name w:val="标准_章标题"/>
    <w:next w:val="1"/>
    <w:qFormat/>
    <w:uiPriority w:val="0"/>
    <w:pPr>
      <w:spacing w:before="100" w:beforeLines="100" w:after="100" w:afterLines="100"/>
      <w:jc w:val="both"/>
      <w:outlineLvl w:val="0"/>
    </w:pPr>
    <w:rPr>
      <w:rFonts w:ascii="黑体" w:hAnsi="黑体" w:eastAsia="黑体" w:cstheme="minorBidi"/>
      <w:sz w:val="21"/>
      <w:szCs w:val="21"/>
      <w:lang w:val="en-US" w:eastAsia="zh-CN" w:bidi="ar-SA"/>
    </w:rPr>
  </w:style>
  <w:style w:type="paragraph" w:customStyle="1" w:styleId="239">
    <w:name w:val="标准_术语条目2级"/>
    <w:basedOn w:val="240"/>
    <w:next w:val="1"/>
    <w:qFormat/>
    <w:uiPriority w:val="0"/>
    <w:pPr>
      <w:numPr>
        <w:ilvl w:val="2"/>
        <w:numId w:val="29"/>
      </w:numPr>
    </w:pPr>
  </w:style>
  <w:style w:type="paragraph" w:customStyle="1" w:styleId="240">
    <w:name w:val="标准_条标题2级"/>
    <w:basedOn w:val="237"/>
    <w:next w:val="1"/>
    <w:qFormat/>
    <w:uiPriority w:val="0"/>
    <w:pPr>
      <w:outlineLvl w:val="2"/>
    </w:pPr>
  </w:style>
  <w:style w:type="paragraph" w:customStyle="1" w:styleId="241">
    <w:name w:val="标准_条标题3级"/>
    <w:basedOn w:val="240"/>
    <w:next w:val="1"/>
    <w:qFormat/>
    <w:uiPriority w:val="0"/>
    <w:pPr>
      <w:outlineLvl w:val="3"/>
    </w:pPr>
    <w:rPr>
      <w:lang w:eastAsia="zh-CN"/>
    </w:rPr>
  </w:style>
  <w:style w:type="paragraph" w:customStyle="1" w:styleId="242">
    <w:name w:val="标准_条标题4级"/>
    <w:basedOn w:val="241"/>
    <w:next w:val="1"/>
    <w:qFormat/>
    <w:uiPriority w:val="0"/>
    <w:pPr>
      <w:outlineLvl w:val="4"/>
    </w:pPr>
  </w:style>
  <w:style w:type="paragraph" w:customStyle="1" w:styleId="243">
    <w:name w:val="标准_条标题5级"/>
    <w:basedOn w:val="242"/>
    <w:next w:val="1"/>
    <w:qFormat/>
    <w:uiPriority w:val="0"/>
    <w:pPr>
      <w:outlineLvl w:val="5"/>
    </w:pPr>
  </w:style>
  <w:style w:type="paragraph" w:customStyle="1" w:styleId="244">
    <w:name w:val="标准_术语定义"/>
    <w:basedOn w:val="1"/>
    <w:next w:val="1"/>
    <w:qFormat/>
    <w:uiPriority w:val="0"/>
    <w:pPr>
      <w:widowControl/>
      <w:ind w:firstLine="420"/>
      <w:jc w:val="left"/>
    </w:pPr>
    <w:rPr>
      <w:rFonts w:ascii="Times New Roman" w:hAnsi="Times New Roman" w:cs="Times New Roman"/>
      <w:color w:val="000000"/>
      <w:kern w:val="0"/>
      <w:sz w:val="24"/>
      <w:szCs w:val="24"/>
    </w:rPr>
  </w:style>
  <w:style w:type="paragraph" w:customStyle="1" w:styleId="245">
    <w:name w:val="标准_条文2级"/>
    <w:basedOn w:val="240"/>
    <w:qFormat/>
    <w:uiPriority w:val="0"/>
    <w:pPr>
      <w:spacing w:before="0" w:beforeLines="0" w:after="0" w:afterLines="0"/>
    </w:pPr>
    <w:rPr>
      <w:rFonts w:ascii="宋体" w:eastAsia="宋体"/>
      <w:color w:val="auto"/>
    </w:rPr>
  </w:style>
  <w:style w:type="paragraph" w:customStyle="1" w:styleId="246">
    <w:name w:val="标准_参考文献条目"/>
    <w:basedOn w:val="1"/>
    <w:qFormat/>
    <w:uiPriority w:val="0"/>
    <w:pPr>
      <w:widowControl/>
      <w:numPr>
        <w:ilvl w:val="0"/>
        <w:numId w:val="30"/>
      </w:numPr>
      <w:ind w:left="824" w:leftChars="200"/>
      <w:jc w:val="left"/>
    </w:pPr>
    <w:rPr>
      <w:rFonts w:ascii="宋体" w:hAnsi="Times New Roman" w:cs="Times New Roman"/>
      <w:color w:val="000000"/>
      <w:kern w:val="0"/>
      <w:sz w:val="24"/>
      <w:szCs w:val="24"/>
    </w:rPr>
  </w:style>
  <w:style w:type="paragraph" w:customStyle="1" w:styleId="247">
    <w:name w:val="标准_图标题"/>
    <w:next w:val="1"/>
    <w:qFormat/>
    <w:uiPriority w:val="0"/>
    <w:pPr>
      <w:numPr>
        <w:ilvl w:val="0"/>
        <w:numId w:val="31"/>
      </w:numPr>
      <w:spacing w:before="50" w:beforeLines="50" w:after="50" w:afterLines="50"/>
      <w:jc w:val="center"/>
    </w:pPr>
    <w:rPr>
      <w:rFonts w:ascii="黑体" w:hAnsi="黑体" w:eastAsia="黑体" w:cstheme="minorBidi"/>
      <w:color w:val="000000"/>
      <w:sz w:val="21"/>
      <w:szCs w:val="22"/>
      <w:lang w:val="en-US" w:eastAsia="en-US" w:bidi="ar-SA"/>
    </w:rPr>
  </w:style>
  <w:style w:type="paragraph" w:customStyle="1" w:styleId="248">
    <w:name w:val="标准_示例x"/>
    <w:basedOn w:val="1"/>
    <w:next w:val="1"/>
    <w:qFormat/>
    <w:uiPriority w:val="0"/>
    <w:pPr>
      <w:widowControl/>
      <w:numPr>
        <w:ilvl w:val="0"/>
        <w:numId w:val="32"/>
      </w:numPr>
      <w:ind w:left="0"/>
      <w:jc w:val="left"/>
    </w:pPr>
    <w:rPr>
      <w:rFonts w:ascii="Times New Roman" w:hAnsi="Times New Roman" w:cs="Times New Roman"/>
      <w:color w:val="000000"/>
      <w:kern w:val="0"/>
      <w:sz w:val="18"/>
      <w:lang w:eastAsia="en-US"/>
    </w:rPr>
  </w:style>
  <w:style w:type="paragraph" w:customStyle="1" w:styleId="249">
    <w:name w:val="标准_段"/>
    <w:link w:val="250"/>
    <w:qFormat/>
    <w:uiPriority w:val="0"/>
    <w:pPr>
      <w:ind w:firstLine="420"/>
      <w:jc w:val="both"/>
    </w:pPr>
    <w:rPr>
      <w:rFonts w:ascii="宋体" w:hAnsi="Times New Roman" w:eastAsia="宋体" w:cstheme="minorBidi"/>
      <w:color w:val="000000"/>
      <w:sz w:val="21"/>
      <w:szCs w:val="21"/>
      <w:lang w:val="en-US" w:eastAsia="en-US" w:bidi="ar-SA"/>
    </w:rPr>
  </w:style>
  <w:style w:type="character" w:customStyle="1" w:styleId="250">
    <w:name w:val="标准_段 字符"/>
    <w:basedOn w:val="30"/>
    <w:link w:val="249"/>
    <w:uiPriority w:val="0"/>
    <w:rPr>
      <w:rFonts w:ascii="宋体" w:hAnsi="Times New Roman" w:eastAsia="宋体"/>
      <w:color w:val="000000"/>
      <w:sz w:val="21"/>
      <w:szCs w:val="21"/>
      <w:lang w:eastAsia="en-US"/>
    </w:rPr>
  </w:style>
  <w:style w:type="paragraph" w:customStyle="1" w:styleId="251">
    <w:name w:val="标准_注x"/>
    <w:qFormat/>
    <w:uiPriority w:val="0"/>
    <w:pPr>
      <w:ind w:left="896" w:hanging="533"/>
      <w:jc w:val="both"/>
    </w:pPr>
    <w:rPr>
      <w:rFonts w:ascii="Times New Roman" w:hAnsi="Times New Roman" w:eastAsia="宋体" w:cstheme="minorBidi"/>
      <w:sz w:val="18"/>
      <w:szCs w:val="22"/>
      <w:lang w:val="en-US" w:eastAsia="en-US" w:bidi="ar-SA"/>
    </w:rPr>
  </w:style>
  <w:style w:type="paragraph" w:customStyle="1" w:styleId="252">
    <w:name w:val="标准_注"/>
    <w:qFormat/>
    <w:uiPriority w:val="0"/>
    <w:pPr>
      <w:numPr>
        <w:ilvl w:val="0"/>
        <w:numId w:val="33"/>
      </w:numPr>
      <w:jc w:val="both"/>
    </w:pPr>
    <w:rPr>
      <w:rFonts w:ascii="Times New Roman" w:hAnsi="Times New Roman" w:eastAsia="宋体" w:cstheme="minorBidi"/>
      <w:color w:val="000000"/>
      <w:sz w:val="18"/>
      <w:szCs w:val="22"/>
      <w:lang w:val="en-US" w:eastAsia="en-US" w:bidi="ar-SA"/>
    </w:rPr>
  </w:style>
  <w:style w:type="paragraph" w:customStyle="1" w:styleId="253">
    <w:name w:val="标准_参考文献标题"/>
    <w:next w:val="249"/>
    <w:qFormat/>
    <w:uiPriority w:val="0"/>
    <w:pPr>
      <w:keepNext/>
      <w:pageBreakBefore/>
      <w:spacing w:before="50" w:beforeLines="50" w:after="50" w:afterLines="50"/>
      <w:jc w:val="center"/>
      <w:outlineLvl w:val="0"/>
    </w:pPr>
    <w:rPr>
      <w:rFonts w:ascii="黑体" w:hAnsi="黑体" w:eastAsia="黑体" w:cstheme="minorBidi"/>
      <w:sz w:val="21"/>
      <w:szCs w:val="22"/>
      <w:lang w:val="en-US" w:eastAsia="en-US" w:bidi="ar-SA"/>
    </w:rPr>
  </w:style>
  <w:style w:type="paragraph" w:customStyle="1" w:styleId="254">
    <w:name w:val="标准_表脚注"/>
    <w:basedOn w:val="249"/>
    <w:qFormat/>
    <w:uiPriority w:val="0"/>
    <w:pPr>
      <w:numPr>
        <w:ilvl w:val="0"/>
        <w:numId w:val="34"/>
      </w:numPr>
      <w:tabs>
        <w:tab w:val="left" w:pos="360"/>
      </w:tabs>
      <w:ind w:left="0" w:firstLine="420"/>
    </w:pPr>
    <w:rPr>
      <w:sz w:val="18"/>
    </w:rPr>
  </w:style>
  <w:style w:type="paragraph" w:customStyle="1" w:styleId="255">
    <w:name w:val="Revision"/>
    <w:hidden/>
    <w:semiHidden/>
    <w:uiPriority w:val="99"/>
    <w:rPr>
      <w:rFonts w:ascii="Calibri" w:hAnsi="Calibri" w:eastAsia="宋体" w:cs="Times New Roman"/>
      <w:kern w:val="2"/>
      <w:sz w:val="21"/>
      <w:szCs w:val="21"/>
      <w:lang w:val="en-US" w:eastAsia="zh-CN" w:bidi="ar-SA"/>
    </w:rPr>
  </w:style>
  <w:style w:type="paragraph" w:customStyle="1" w:styleId="256">
    <w:name w:val="标准_终结线"/>
    <w:qFormat/>
    <w:uiPriority w:val="0"/>
    <w:pPr>
      <w:framePr w:w="2552" w:h="284" w:hRule="exact" w:wrap="notBeside" w:vAnchor="text" w:hAnchor="text" w:xAlign="center" w:y="1"/>
      <w:jc w:val="center"/>
    </w:pPr>
    <w:rPr>
      <w:rFonts w:ascii="黑体" w:hAnsi="Times New Roman" w:eastAsia="黑体" w:cstheme="minorBidi"/>
      <w:color w:val="000000"/>
      <w:sz w:val="21"/>
      <w:szCs w:val="22"/>
      <w:lang w:val="en-US" w:eastAsia="en-US" w:bidi="ar-SA"/>
    </w:rPr>
  </w:style>
  <w:style w:type="character" w:customStyle="1" w:styleId="257">
    <w:name w:val="未处理的提及1"/>
    <w:basedOn w:val="30"/>
    <w:semiHidden/>
    <w:unhideWhenUsed/>
    <w:uiPriority w:val="99"/>
    <w:rPr>
      <w:color w:val="605E5C"/>
      <w:shd w:val="clear" w:color="auto" w:fill="E1DFDD"/>
    </w:rPr>
  </w:style>
  <w:style w:type="character" w:customStyle="1" w:styleId="258">
    <w:name w:val="apple-converted-space"/>
    <w:basedOn w:val="30"/>
    <w:uiPriority w:val="0"/>
  </w:style>
  <w:style w:type="character" w:customStyle="1" w:styleId="259">
    <w:name w:val="sts-tbx-entailedterm"/>
    <w:basedOn w:val="30"/>
    <w:uiPriority w:val="0"/>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glossaryDocument" Target="glossary/document.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1.png"/><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0D3AD5C29E2ACF46AE1B191335D8C1E5"/>
        <w:style w:val=""/>
        <w:category>
          <w:name w:val="常规"/>
          <w:gallery w:val="placeholder"/>
        </w:category>
        <w:types>
          <w:type w:val="bbPlcHdr"/>
        </w:types>
        <w:behaviors>
          <w:behavior w:val="content"/>
        </w:behaviors>
        <w:description w:val=""/>
        <w:guid w:val="{75D8CD4E-54B3-5042-B115-5E7AFC0A8782}"/>
      </w:docPartPr>
      <w:docPartBody>
        <w:p w14:paraId="36CEA042">
          <w:pPr>
            <w:pStyle w:val="13"/>
          </w:pPr>
          <w:r>
            <w:rPr>
              <w:rStyle w:val="4"/>
              <w:rFonts w:hint="eastAsia"/>
            </w:rPr>
            <w:t>单击或点击此处输入文字。</w:t>
          </w:r>
        </w:p>
      </w:docPartBody>
    </w:docPart>
    <w:docPart>
      <w:docPartPr>
        <w:name w:val="83588E2E76E8DD479E7EB4F4317D70B0"/>
        <w:style w:val=""/>
        <w:category>
          <w:name w:val="常规"/>
          <w:gallery w:val="placeholder"/>
        </w:category>
        <w:types>
          <w:type w:val="bbPlcHdr"/>
        </w:types>
        <w:behaviors>
          <w:behavior w:val="content"/>
        </w:behaviors>
        <w:description w:val=""/>
        <w:guid w:val="{5F9A1981-731B-6F40-9D04-2234678A3833}"/>
      </w:docPartPr>
      <w:docPartBody>
        <w:p w14:paraId="5B9FB649">
          <w:pPr>
            <w:pStyle w:val="14"/>
          </w:pPr>
          <w:r>
            <w:rPr>
              <w:rStyle w:val="4"/>
              <w:rFonts w:hint="eastAsia"/>
            </w:rPr>
            <w:t>选择一项。</w:t>
          </w:r>
        </w:p>
      </w:docPartBody>
    </w:docPart>
    <w:docPart>
      <w:docPartPr>
        <w:name w:val="3EA26426AD580E4DBC43FDBAE71BD0B4"/>
        <w:style w:val=""/>
        <w:category>
          <w:name w:val="常规"/>
          <w:gallery w:val="placeholder"/>
        </w:category>
        <w:types>
          <w:type w:val="bbPlcHdr"/>
        </w:types>
        <w:behaviors>
          <w:behavior w:val="content"/>
        </w:behaviors>
        <w:description w:val=""/>
        <w:guid w:val="{AA09CE64-A4CB-2E4E-A4D0-F22F9EE6A110}"/>
      </w:docPartPr>
      <w:docPartBody>
        <w:p w14:paraId="1F829024">
          <w:pPr>
            <w:pStyle w:val="15"/>
          </w:pPr>
          <w:r>
            <w:rPr>
              <w:rStyle w:val="4"/>
              <w:rFonts w:hint="eastAsia"/>
            </w:rPr>
            <w:t>选择一项。</w:t>
          </w:r>
        </w:p>
      </w:docPartBody>
    </w:docPart>
    <w:docPart>
      <w:docPartPr>
        <w:name w:val="33D2B16646BF9E45B67107AA30E9A556"/>
        <w:style w:val=""/>
        <w:category>
          <w:name w:val="常规"/>
          <w:gallery w:val="placeholder"/>
        </w:category>
        <w:types>
          <w:type w:val="bbPlcHdr"/>
        </w:types>
        <w:behaviors>
          <w:behavior w:val="content"/>
        </w:behaviors>
        <w:description w:val=""/>
        <w:guid w:val="{B2AC85BB-1BBC-294F-B157-6581F0D350C4}"/>
      </w:docPartPr>
      <w:docPartBody>
        <w:p w14:paraId="539EE0AA">
          <w:pPr>
            <w:pStyle w:val="16"/>
          </w:pPr>
          <w:r>
            <w:rPr>
              <w:rStyle w:val="4"/>
              <w:rFonts w:hint="eastAsia"/>
            </w:rPr>
            <w:t>单击或点击此处输入文字。</w:t>
          </w:r>
        </w:p>
      </w:docPartBody>
    </w:docPart>
  </w:docParts>
</w:glossaryDocument>
</file>

<file path=word/glossary/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glossary/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4704"/>
    <w:rsid w:val="000F1CB1"/>
    <w:rsid w:val="003B01C1"/>
    <w:rsid w:val="003D491C"/>
    <w:rsid w:val="00A5765B"/>
    <w:rsid w:val="00B14704"/>
    <w:rsid w:val="00BB3C6B"/>
    <w:rsid w:val="00D001A7"/>
    <w:rsid w:val="00EE43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unhideWhenUsed="0" w:uiPriority="99" w:name="Placeholder Text"/>
  </w:latentStyles>
  <w:style w:type="paragraph" w:default="1" w:styleId="1">
    <w:name w:val="Normal"/>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uiPriority w:val="99"/>
    <w:rPr>
      <w:color w:val="808080"/>
    </w:rPr>
  </w:style>
  <w:style w:type="paragraph" w:customStyle="1" w:styleId="5">
    <w:name w:val="BA3B581AE4F984429A4E2978411DC538"/>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paragraph" w:customStyle="1" w:styleId="6">
    <w:name w:val="445C7F6F69B7D5499F0901A40E13998B"/>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paragraph" w:customStyle="1" w:styleId="7">
    <w:name w:val="4B93AE804ED468499202783A090C6D85"/>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paragraph" w:customStyle="1" w:styleId="8">
    <w:name w:val="6C7A13BFE2563549A0A95389AA38C87A"/>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paragraph" w:customStyle="1" w:styleId="9">
    <w:name w:val="D96346EF50345A42AA32B7FBF9B7BB7C"/>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paragraph" w:customStyle="1" w:styleId="10">
    <w:name w:val="30BB9FDB78E9BD4084B690F0C01EE5A2"/>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paragraph" w:customStyle="1" w:styleId="11">
    <w:name w:val="7618102D199F6E4EB295F5DE01C88C3D"/>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paragraph" w:customStyle="1" w:styleId="12">
    <w:name w:val="EA75E166BA50DA4EB648F8520C6AAE3C"/>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paragraph" w:customStyle="1" w:styleId="13">
    <w:name w:val="0D3AD5C29E2ACF46AE1B191335D8C1E5"/>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paragraph" w:customStyle="1" w:styleId="14">
    <w:name w:val="83588E2E76E8DD479E7EB4F4317D70B0"/>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paragraph" w:customStyle="1" w:styleId="15">
    <w:name w:val="3EA26426AD580E4DBC43FDBAE71BD0B4"/>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paragraph" w:customStyle="1" w:styleId="16">
    <w:name w:val="33D2B16646BF9E45B67107AA30E9A556"/>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3D81F38-D083-4499-B21D-ADEB482C9EF0}">
  <ds:schemaRefs/>
</ds:datastoreItem>
</file>

<file path=docProps/app.xml><?xml version="1.0" encoding="utf-8"?>
<Properties xmlns="http://schemas.openxmlformats.org/officeDocument/2006/extended-properties" xmlns:vt="http://schemas.openxmlformats.org/officeDocument/2006/docPropsVTypes">
  <Template>Normal.dotm</Template>
  <Pages>12</Pages>
  <Words>2709</Words>
  <Characters>3176</Characters>
  <Lines>55</Lines>
  <Paragraphs>15</Paragraphs>
  <TotalTime>46</TotalTime>
  <ScaleCrop>false</ScaleCrop>
  <LinksUpToDate>false</LinksUpToDate>
  <CharactersWithSpaces>3314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2025-03-15T03:28:00Z</dcterms:created>
  <dc:creator>郭力生</dc:creator>
  <cp:lastModifiedBy>aa</cp:lastModifiedBy>
  <dcterms:modified xsi:type="dcterms:W3CDTF">2025-03-27T01:54:24Z</dcterms:modified>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2C1387C7B1ED405E9D53D20C0F67D7E6</vt:lpwstr>
  </property>
  <property fmtid="{D5CDD505-2E9C-101B-9397-08002B2CF9AE}" pid="4" name="KSOTemplateDocerSaveRecord">
    <vt:lpwstr>eyJoZGlkIjoiYzdmYTM1MmY2MjRjODIxY2UzNjkzY2FlMzEyMDMwNWQifQ==</vt:lpwstr>
  </property>
</Properties>
</file>