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P/CIQA 169-2024</w:t>
      </w:r>
      <w:r>
        <w:rPr>
          <w:rFonts w:hint="eastAsia"/>
          <w:lang w:val="en-US" w:eastAsia="zh-CN"/>
        </w:rPr>
        <w:t>《铝土矿采制样不确定度评定方法</w:t>
      </w:r>
      <w:r>
        <w:t>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bookmarkStart w:id="0" w:name="_GoBack"/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bookmarkEnd w:id="0"/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p w14:paraId="5C56A8DD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D5EFB"/>
    <w:rsid w:val="3FBD5EFB"/>
    <w:rsid w:val="4F8A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2025-07-07T02:00:00Z</dcterms:created>
  <dc:creator>WPS_1742196473</dc:creator>
  <cp:lastModifiedBy>WPS_1742196473</cp:lastModifiedBy>
  <dcterms:modified xsi:type="dcterms:W3CDTF">2025-07-07T02:41:19Z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E86CF01D40E340D29CFF3ED4DBF67E29_11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